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45C5" w14:textId="22A55E3B" w:rsidR="502ACF84" w:rsidRDefault="502ACF84" w:rsidP="2A21A488">
      <w:pPr>
        <w:jc w:val="center"/>
        <w:rPr>
          <w:b/>
          <w:bCs/>
          <w:color w:val="70AD47" w:themeColor="accent6"/>
          <w:sz w:val="40"/>
          <w:szCs w:val="40"/>
        </w:rPr>
      </w:pPr>
      <w:r w:rsidRPr="2A21A488">
        <w:rPr>
          <w:b/>
          <w:bCs/>
          <w:color w:val="70AD47" w:themeColor="accent6"/>
          <w:sz w:val="40"/>
          <w:szCs w:val="40"/>
        </w:rPr>
        <w:t>In</w:t>
      </w:r>
      <w:r w:rsidR="2ADD2BA1" w:rsidRPr="2A21A488">
        <w:rPr>
          <w:b/>
          <w:bCs/>
          <w:color w:val="70AD47" w:themeColor="accent6"/>
          <w:sz w:val="40"/>
          <w:szCs w:val="40"/>
        </w:rPr>
        <w:t>F</w:t>
      </w:r>
      <w:r w:rsidRPr="2A21A488">
        <w:rPr>
          <w:b/>
          <w:bCs/>
          <w:color w:val="70AD47" w:themeColor="accent6"/>
          <w:sz w:val="40"/>
          <w:szCs w:val="40"/>
        </w:rPr>
        <w:t xml:space="preserve">orm Conference 2023 </w:t>
      </w:r>
    </w:p>
    <w:p w14:paraId="1FFF9704" w14:textId="2CDEEC7E" w:rsidR="502ACF84" w:rsidRDefault="502ACF84" w:rsidP="2A21A488">
      <w:pPr>
        <w:jc w:val="center"/>
        <w:rPr>
          <w:b/>
          <w:bCs/>
          <w:sz w:val="32"/>
          <w:szCs w:val="32"/>
        </w:rPr>
      </w:pPr>
      <w:r w:rsidRPr="2A21A488">
        <w:rPr>
          <w:b/>
          <w:bCs/>
          <w:sz w:val="32"/>
          <w:szCs w:val="32"/>
        </w:rPr>
        <w:t xml:space="preserve">The changing nature and expectations of students in a changing world: transforming and being </w:t>
      </w:r>
      <w:proofErr w:type="gramStart"/>
      <w:r w:rsidRPr="2A21A488">
        <w:rPr>
          <w:b/>
          <w:bCs/>
          <w:sz w:val="32"/>
          <w:szCs w:val="32"/>
        </w:rPr>
        <w:t>transformed</w:t>
      </w:r>
      <w:proofErr w:type="gramEnd"/>
    </w:p>
    <w:p w14:paraId="33E3B961" w14:textId="55A5C4A6" w:rsidR="2A21A488" w:rsidRDefault="2A21A488" w:rsidP="2A21A488">
      <w:pPr>
        <w:jc w:val="center"/>
        <w:rPr>
          <w:b/>
          <w:bCs/>
          <w:sz w:val="32"/>
          <w:szCs w:val="32"/>
        </w:rPr>
      </w:pPr>
    </w:p>
    <w:p w14:paraId="3C4BDA26" w14:textId="21DED04C" w:rsidR="00BC5E84" w:rsidRDefault="502ACF84" w:rsidP="00BC5E84">
      <w:pPr>
        <w:jc w:val="center"/>
        <w:rPr>
          <w:b/>
          <w:bCs/>
          <w:sz w:val="28"/>
          <w:szCs w:val="28"/>
        </w:rPr>
      </w:pPr>
      <w:r w:rsidRPr="2A21A488">
        <w:rPr>
          <w:b/>
          <w:bCs/>
          <w:sz w:val="28"/>
          <w:szCs w:val="28"/>
        </w:rPr>
        <w:t>3</w:t>
      </w:r>
      <w:r w:rsidRPr="2A21A488">
        <w:rPr>
          <w:b/>
          <w:bCs/>
          <w:sz w:val="28"/>
          <w:szCs w:val="28"/>
          <w:vertAlign w:val="superscript"/>
        </w:rPr>
        <w:t>rd</w:t>
      </w:r>
      <w:r w:rsidRPr="2A21A488">
        <w:rPr>
          <w:b/>
          <w:bCs/>
          <w:sz w:val="28"/>
          <w:szCs w:val="28"/>
        </w:rPr>
        <w:t xml:space="preserve"> June at the University of Bristol</w:t>
      </w:r>
      <w:r w:rsidR="00A83157">
        <w:rPr>
          <w:b/>
          <w:bCs/>
          <w:sz w:val="28"/>
          <w:szCs w:val="28"/>
        </w:rPr>
        <w:t xml:space="preserve"> – Arts Complex / Humanities Building</w:t>
      </w:r>
      <w:r w:rsidR="00194197">
        <w:rPr>
          <w:b/>
          <w:bCs/>
          <w:sz w:val="28"/>
          <w:szCs w:val="28"/>
        </w:rPr>
        <w:t>, 7 Woodland Road</w:t>
      </w:r>
      <w:r w:rsidR="00BC5E84">
        <w:rPr>
          <w:b/>
          <w:bCs/>
          <w:sz w:val="28"/>
          <w:szCs w:val="28"/>
        </w:rPr>
        <w:t xml:space="preserve">, Bristol, BS8 </w:t>
      </w:r>
      <w:proofErr w:type="gramStart"/>
      <w:r w:rsidR="00BC5E84">
        <w:rPr>
          <w:b/>
          <w:bCs/>
          <w:sz w:val="28"/>
          <w:szCs w:val="28"/>
        </w:rPr>
        <w:t>1TB</w:t>
      </w:r>
      <w:proofErr w:type="gramEnd"/>
    </w:p>
    <w:p w14:paraId="2CED8CAB" w14:textId="6FFEC42F" w:rsidR="00BC5E84" w:rsidRPr="00BC5E84" w:rsidRDefault="00BC5E84" w:rsidP="2A21A488">
      <w:pPr>
        <w:jc w:val="center"/>
      </w:pPr>
      <w:r>
        <w:t>(Please note</w:t>
      </w:r>
      <w:r w:rsidR="004955DA">
        <w:t xml:space="preserve">, </w:t>
      </w:r>
      <w:r w:rsidR="004955DA">
        <w:rPr>
          <w:rFonts w:ascii="Calibri" w:hAnsi="Calibri" w:cs="Calibri"/>
          <w:color w:val="000000"/>
          <w:shd w:val="clear" w:color="auto" w:fill="FFFFFF"/>
        </w:rPr>
        <w:t xml:space="preserve">if you use the postal code, google will take you to a staff car park and from there you should walk down some steps, turn left, walk along a bit and then cross </w:t>
      </w:r>
      <w:proofErr w:type="spellStart"/>
      <w:r w:rsidR="00E70E55">
        <w:rPr>
          <w:rFonts w:ascii="Calibri" w:hAnsi="Calibri" w:cs="Calibri"/>
          <w:color w:val="000000"/>
          <w:shd w:val="clear" w:color="auto" w:fill="FFFFFF"/>
        </w:rPr>
        <w:t>Tyndalls</w:t>
      </w:r>
      <w:proofErr w:type="spellEnd"/>
      <w:r w:rsidR="00E70E55">
        <w:rPr>
          <w:rFonts w:ascii="Calibri" w:hAnsi="Calibri" w:cs="Calibri"/>
          <w:color w:val="000000"/>
          <w:shd w:val="clear" w:color="auto" w:fill="FFFFFF"/>
        </w:rPr>
        <w:t xml:space="preserve"> Park R</w:t>
      </w:r>
      <w:r w:rsidR="004955DA">
        <w:rPr>
          <w:rFonts w:ascii="Calibri" w:hAnsi="Calibri" w:cs="Calibri"/>
          <w:color w:val="000000"/>
          <w:shd w:val="clear" w:color="auto" w:fill="FFFFFF"/>
        </w:rPr>
        <w:t>oad</w:t>
      </w:r>
      <w:r w:rsidR="005C30C3">
        <w:rPr>
          <w:rFonts w:ascii="Calibri" w:hAnsi="Calibri" w:cs="Calibri"/>
          <w:color w:val="000000"/>
          <w:shd w:val="clear" w:color="auto" w:fill="FFFFFF"/>
        </w:rPr>
        <w:t xml:space="preserve">, walk a little </w:t>
      </w:r>
      <w:r w:rsidR="004955DA">
        <w:rPr>
          <w:rFonts w:ascii="Calibri" w:hAnsi="Calibri" w:cs="Calibri"/>
          <w:color w:val="000000"/>
          <w:shd w:val="clear" w:color="auto" w:fill="FFFFFF"/>
        </w:rPr>
        <w:t xml:space="preserve">and </w:t>
      </w:r>
      <w:r w:rsidR="00E70E55">
        <w:rPr>
          <w:rFonts w:ascii="Calibri" w:hAnsi="Calibri" w:cs="Calibri"/>
          <w:color w:val="000000"/>
          <w:shd w:val="clear" w:color="auto" w:fill="FFFFFF"/>
        </w:rPr>
        <w:t>you</w:t>
      </w:r>
      <w:r w:rsidR="004955DA">
        <w:rPr>
          <w:rFonts w:ascii="Calibri" w:hAnsi="Calibri" w:cs="Calibri"/>
          <w:color w:val="000000"/>
          <w:shd w:val="clear" w:color="auto" w:fill="FFFFFF"/>
        </w:rPr>
        <w:t xml:space="preserve"> will find 7 Woodland Road on </w:t>
      </w:r>
      <w:r w:rsidR="00E70E55">
        <w:rPr>
          <w:rFonts w:ascii="Calibri" w:hAnsi="Calibri" w:cs="Calibri"/>
          <w:color w:val="000000"/>
          <w:shd w:val="clear" w:color="auto" w:fill="FFFFFF"/>
        </w:rPr>
        <w:t>your</w:t>
      </w:r>
      <w:r w:rsidR="004955DA">
        <w:rPr>
          <w:rFonts w:ascii="Calibri" w:hAnsi="Calibri" w:cs="Calibri"/>
          <w:color w:val="000000"/>
          <w:shd w:val="clear" w:color="auto" w:fill="FFFFFF"/>
        </w:rPr>
        <w:t xml:space="preserve"> left</w:t>
      </w:r>
      <w:r w:rsidR="00E70E55">
        <w:rPr>
          <w:rFonts w:ascii="Calibri" w:hAnsi="Calibri" w:cs="Calibri"/>
          <w:color w:val="000000"/>
          <w:shd w:val="clear" w:color="auto" w:fill="FFFFFF"/>
        </w:rPr>
        <w:t>)</w:t>
      </w:r>
    </w:p>
    <w:p w14:paraId="5EE2DF0E" w14:textId="770F59AC" w:rsidR="2A21A488" w:rsidRDefault="2A21A488" w:rsidP="2A21A488">
      <w:pPr>
        <w:jc w:val="center"/>
        <w:rPr>
          <w:b/>
          <w:bCs/>
          <w:sz w:val="28"/>
          <w:szCs w:val="28"/>
        </w:rPr>
      </w:pPr>
    </w:p>
    <w:tbl>
      <w:tblPr>
        <w:tblStyle w:val="TableGrid"/>
        <w:tblW w:w="0" w:type="auto"/>
        <w:tblLook w:val="04A0" w:firstRow="1" w:lastRow="0" w:firstColumn="1" w:lastColumn="0" w:noHBand="0" w:noVBand="1"/>
      </w:tblPr>
      <w:tblGrid>
        <w:gridCol w:w="2072"/>
        <w:gridCol w:w="2316"/>
        <w:gridCol w:w="2258"/>
        <w:gridCol w:w="2370"/>
      </w:tblGrid>
      <w:tr w:rsidR="00601DBF" w14:paraId="09FC477C" w14:textId="77777777" w:rsidTr="2A21A488">
        <w:trPr>
          <w:trHeight w:val="300"/>
        </w:trPr>
        <w:tc>
          <w:tcPr>
            <w:tcW w:w="2072" w:type="dxa"/>
            <w:shd w:val="clear" w:color="auto" w:fill="A8D08D" w:themeFill="accent6" w:themeFillTint="99"/>
          </w:tcPr>
          <w:p w14:paraId="0DC69D04" w14:textId="0E39C260" w:rsidR="00112C59" w:rsidRDefault="4FC13ECB" w:rsidP="2A21A488">
            <w:pPr>
              <w:jc w:val="center"/>
              <w:rPr>
                <w:b/>
                <w:bCs/>
                <w:sz w:val="28"/>
                <w:szCs w:val="28"/>
              </w:rPr>
            </w:pPr>
            <w:r w:rsidRPr="2A21A488">
              <w:rPr>
                <w:b/>
                <w:bCs/>
                <w:sz w:val="28"/>
                <w:szCs w:val="28"/>
              </w:rPr>
              <w:t>8:50-9:15</w:t>
            </w:r>
          </w:p>
        </w:tc>
        <w:tc>
          <w:tcPr>
            <w:tcW w:w="6944" w:type="dxa"/>
            <w:gridSpan w:val="3"/>
            <w:shd w:val="clear" w:color="auto" w:fill="A8D08D" w:themeFill="accent6" w:themeFillTint="99"/>
          </w:tcPr>
          <w:p w14:paraId="17826704" w14:textId="25716090" w:rsidR="00601DBF" w:rsidRPr="00112C59" w:rsidRDefault="4FC13ECB" w:rsidP="2A21A488">
            <w:pPr>
              <w:jc w:val="center"/>
              <w:rPr>
                <w:b/>
                <w:bCs/>
                <w:sz w:val="28"/>
                <w:szCs w:val="28"/>
              </w:rPr>
            </w:pPr>
            <w:r w:rsidRPr="2A21A488">
              <w:rPr>
                <w:b/>
                <w:bCs/>
                <w:sz w:val="28"/>
                <w:szCs w:val="28"/>
              </w:rPr>
              <w:t>Registration - refreshments</w:t>
            </w:r>
          </w:p>
        </w:tc>
      </w:tr>
      <w:tr w:rsidR="00112C59" w14:paraId="2FF045C6" w14:textId="77777777" w:rsidTr="2A21A488">
        <w:trPr>
          <w:trHeight w:val="300"/>
        </w:trPr>
        <w:tc>
          <w:tcPr>
            <w:tcW w:w="2072" w:type="dxa"/>
            <w:shd w:val="clear" w:color="auto" w:fill="E2EFD9" w:themeFill="accent6" w:themeFillTint="33"/>
          </w:tcPr>
          <w:p w14:paraId="7E95A4CD" w14:textId="2B132408" w:rsidR="00112C59" w:rsidRDefault="00112C59" w:rsidP="00112C59">
            <w:r>
              <w:t>9.15</w:t>
            </w:r>
          </w:p>
        </w:tc>
        <w:tc>
          <w:tcPr>
            <w:tcW w:w="6944" w:type="dxa"/>
            <w:gridSpan w:val="3"/>
            <w:shd w:val="clear" w:color="auto" w:fill="E2EFD9" w:themeFill="accent6" w:themeFillTint="33"/>
          </w:tcPr>
          <w:p w14:paraId="4DE04628" w14:textId="59F43C9D" w:rsidR="00112C59" w:rsidRPr="00112C59" w:rsidRDefault="00112C59" w:rsidP="00112C59">
            <w:pPr>
              <w:rPr>
                <w:b/>
                <w:bCs/>
              </w:rPr>
            </w:pPr>
            <w:r w:rsidRPr="00441778">
              <w:rPr>
                <w:b/>
                <w:bCs/>
              </w:rPr>
              <w:t>Welcome</w:t>
            </w:r>
          </w:p>
        </w:tc>
      </w:tr>
      <w:tr w:rsidR="00112C59" w14:paraId="09187C45" w14:textId="77777777" w:rsidTr="2A21A488">
        <w:trPr>
          <w:trHeight w:val="300"/>
        </w:trPr>
        <w:tc>
          <w:tcPr>
            <w:tcW w:w="2072" w:type="dxa"/>
            <w:shd w:val="clear" w:color="auto" w:fill="E2EFD9" w:themeFill="accent6" w:themeFillTint="33"/>
          </w:tcPr>
          <w:p w14:paraId="1B699207" w14:textId="69C0F468" w:rsidR="00112C59" w:rsidRDefault="00112C59" w:rsidP="00112C59">
            <w:r>
              <w:t xml:space="preserve">9.30-10.20 Plenary by </w:t>
            </w:r>
            <w:hyperlink r:id="rId7">
              <w:r w:rsidRPr="5044BFDD">
                <w:rPr>
                  <w:rStyle w:val="Hyperlink"/>
                </w:rPr>
                <w:t>Tansy Jessop</w:t>
              </w:r>
            </w:hyperlink>
          </w:p>
          <w:p w14:paraId="1BCE915A" w14:textId="4C4C5596" w:rsidR="00112C59" w:rsidRDefault="00112C59" w:rsidP="00112C59">
            <w:r>
              <w:t>PVC Education and Students University of Bristol</w:t>
            </w:r>
          </w:p>
        </w:tc>
        <w:tc>
          <w:tcPr>
            <w:tcW w:w="6944" w:type="dxa"/>
            <w:gridSpan w:val="3"/>
            <w:shd w:val="clear" w:color="auto" w:fill="E2EFD9" w:themeFill="accent6" w:themeFillTint="33"/>
          </w:tcPr>
          <w:p w14:paraId="2C349E46" w14:textId="6BD5E1A1" w:rsidR="00112C59" w:rsidRDefault="00112C59" w:rsidP="00112C59">
            <w:pPr>
              <w:rPr>
                <w:rFonts w:ascii="Calibri" w:eastAsia="Calibri" w:hAnsi="Calibri" w:cs="Calibri"/>
                <w:b/>
                <w:bCs/>
                <w:color w:val="242424"/>
                <w:sz w:val="22"/>
                <w:szCs w:val="22"/>
              </w:rPr>
            </w:pPr>
            <w:r w:rsidRPr="5044BFDD">
              <w:rPr>
                <w:rFonts w:ascii="Calibri" w:eastAsia="Calibri" w:hAnsi="Calibri" w:cs="Calibri"/>
                <w:b/>
                <w:bCs/>
                <w:color w:val="242424"/>
                <w:sz w:val="22"/>
                <w:szCs w:val="22"/>
              </w:rPr>
              <w:t>Changing assessment and feedback for good: developing the virtues of student agency and engagement</w:t>
            </w:r>
          </w:p>
          <w:p w14:paraId="4B683DA3" w14:textId="54953468" w:rsidR="00112C59" w:rsidRDefault="00112C59" w:rsidP="00112C59">
            <w:r w:rsidRPr="5044BFDD">
              <w:rPr>
                <w:rFonts w:ascii="Calibri" w:eastAsia="Calibri" w:hAnsi="Calibri" w:cs="Calibri"/>
                <w:color w:val="242424"/>
                <w:sz w:val="22"/>
                <w:szCs w:val="22"/>
              </w:rPr>
              <w:t>Exogenous shocks to higher education keep coming. The global pandemic brought new modes of assessment and fresh approaches to feedback to the fore. New developments in generative AI challenge our ideas of assessment and feedback. Drawing on student data from ‘Transforming the Experience of Students through Assessment’ (TESTA), this talk invites participants to explore how these shocks can be transformed into practices which engage students, build their confidence, nurture their agency, and develop their capacity to evaluate what ‘good’ looks like. It will provide insights into aspects of assessment and feedback which students find alienating, and strategies for making assessment more engaging and fun for students – and for you!</w:t>
            </w:r>
          </w:p>
        </w:tc>
      </w:tr>
      <w:tr w:rsidR="00112C59" w14:paraId="025F8496" w14:textId="77777777" w:rsidTr="2A21A488">
        <w:trPr>
          <w:trHeight w:val="300"/>
        </w:trPr>
        <w:tc>
          <w:tcPr>
            <w:tcW w:w="2072" w:type="dxa"/>
            <w:shd w:val="clear" w:color="auto" w:fill="A8D08D" w:themeFill="accent6" w:themeFillTint="99"/>
          </w:tcPr>
          <w:p w14:paraId="4CC5BA2B" w14:textId="1F76075D" w:rsidR="00112C59" w:rsidRDefault="00112C59" w:rsidP="00112C59">
            <w:r>
              <w:t>10</w:t>
            </w:r>
            <w:r w:rsidR="00AD2B0C">
              <w:t>.</w:t>
            </w:r>
            <w:r>
              <w:t>20-10</w:t>
            </w:r>
            <w:r w:rsidR="00AD2B0C">
              <w:t>.</w:t>
            </w:r>
            <w:r>
              <w:t>30</w:t>
            </w:r>
          </w:p>
        </w:tc>
        <w:tc>
          <w:tcPr>
            <w:tcW w:w="2316" w:type="dxa"/>
            <w:shd w:val="clear" w:color="auto" w:fill="A8D08D" w:themeFill="accent6" w:themeFillTint="99"/>
          </w:tcPr>
          <w:p w14:paraId="5883DF8F" w14:textId="09B738ED" w:rsidR="00112C59" w:rsidRPr="00112C59" w:rsidRDefault="00112C59" w:rsidP="00112C59">
            <w:pPr>
              <w:rPr>
                <w:b/>
                <w:bCs/>
              </w:rPr>
            </w:pPr>
            <w:r w:rsidRPr="00112C59">
              <w:rPr>
                <w:b/>
                <w:bCs/>
              </w:rPr>
              <w:t>Coffee and Biscuits</w:t>
            </w:r>
          </w:p>
        </w:tc>
        <w:tc>
          <w:tcPr>
            <w:tcW w:w="2258" w:type="dxa"/>
            <w:shd w:val="clear" w:color="auto" w:fill="A8D08D" w:themeFill="accent6" w:themeFillTint="99"/>
          </w:tcPr>
          <w:p w14:paraId="562445EB" w14:textId="77777777" w:rsidR="00112C59" w:rsidRDefault="00112C59" w:rsidP="00112C59"/>
        </w:tc>
        <w:tc>
          <w:tcPr>
            <w:tcW w:w="2370" w:type="dxa"/>
            <w:shd w:val="clear" w:color="auto" w:fill="A8D08D" w:themeFill="accent6" w:themeFillTint="99"/>
          </w:tcPr>
          <w:p w14:paraId="489B2176" w14:textId="77777777" w:rsidR="00112C59" w:rsidRDefault="00112C59" w:rsidP="00112C59"/>
        </w:tc>
      </w:tr>
      <w:tr w:rsidR="00112C59" w14:paraId="47660AD2" w14:textId="77777777" w:rsidTr="2A21A488">
        <w:trPr>
          <w:trHeight w:val="300"/>
        </w:trPr>
        <w:tc>
          <w:tcPr>
            <w:tcW w:w="2072" w:type="dxa"/>
            <w:shd w:val="clear" w:color="auto" w:fill="E2EFD9" w:themeFill="accent6" w:themeFillTint="33"/>
          </w:tcPr>
          <w:p w14:paraId="604C209B" w14:textId="5A1BEC5C" w:rsidR="00112C59" w:rsidRDefault="00112C59" w:rsidP="00112C59">
            <w:r>
              <w:t>10.30 – 11.10</w:t>
            </w:r>
          </w:p>
        </w:tc>
        <w:tc>
          <w:tcPr>
            <w:tcW w:w="2316" w:type="dxa"/>
            <w:shd w:val="clear" w:color="auto" w:fill="E2EFD9" w:themeFill="accent6" w:themeFillTint="33"/>
          </w:tcPr>
          <w:p w14:paraId="0B641EDD" w14:textId="12DC9D3D" w:rsidR="00112C59" w:rsidRPr="00112C59" w:rsidRDefault="00112C59" w:rsidP="00112C59">
            <w:pPr>
              <w:rPr>
                <w:b/>
                <w:bCs/>
              </w:rPr>
            </w:pPr>
            <w:r w:rsidRPr="00441778">
              <w:rPr>
                <w:b/>
                <w:bCs/>
              </w:rPr>
              <w:t>Plenary room</w:t>
            </w:r>
            <w:r w:rsidR="00AA525A" w:rsidRPr="00441778">
              <w:rPr>
                <w:b/>
                <w:bCs/>
              </w:rPr>
              <w:t xml:space="preserve"> B.H05</w:t>
            </w:r>
          </w:p>
        </w:tc>
        <w:tc>
          <w:tcPr>
            <w:tcW w:w="2258" w:type="dxa"/>
            <w:shd w:val="clear" w:color="auto" w:fill="E2EFD9" w:themeFill="accent6" w:themeFillTint="33"/>
          </w:tcPr>
          <w:p w14:paraId="1B00B5D1" w14:textId="04E77ED1" w:rsidR="00112C59" w:rsidRPr="00112C59" w:rsidRDefault="00852DEE" w:rsidP="00112C59">
            <w:pPr>
              <w:rPr>
                <w:b/>
                <w:bCs/>
              </w:rPr>
            </w:pPr>
            <w:r w:rsidRPr="00441778">
              <w:rPr>
                <w:b/>
                <w:bCs/>
              </w:rPr>
              <w:t>Seminar 1 G.H03</w:t>
            </w:r>
          </w:p>
        </w:tc>
        <w:tc>
          <w:tcPr>
            <w:tcW w:w="2370" w:type="dxa"/>
            <w:shd w:val="clear" w:color="auto" w:fill="E2EFD9" w:themeFill="accent6" w:themeFillTint="33"/>
          </w:tcPr>
          <w:p w14:paraId="054BC8E1" w14:textId="489FA912" w:rsidR="00112C59" w:rsidRPr="00112C59" w:rsidRDefault="00520768" w:rsidP="00112C59">
            <w:pPr>
              <w:rPr>
                <w:b/>
                <w:bCs/>
              </w:rPr>
            </w:pPr>
            <w:r w:rsidRPr="00441778">
              <w:rPr>
                <w:b/>
                <w:bCs/>
              </w:rPr>
              <w:t>Seminar 2 G.H04</w:t>
            </w:r>
          </w:p>
        </w:tc>
      </w:tr>
      <w:tr w:rsidR="00112C59" w14:paraId="4066E646" w14:textId="77777777" w:rsidTr="2A21A488">
        <w:trPr>
          <w:trHeight w:val="300"/>
        </w:trPr>
        <w:tc>
          <w:tcPr>
            <w:tcW w:w="2072" w:type="dxa"/>
            <w:shd w:val="clear" w:color="auto" w:fill="E2EFD9" w:themeFill="accent6" w:themeFillTint="33"/>
          </w:tcPr>
          <w:p w14:paraId="03EF2BEF" w14:textId="5B6F5BA7" w:rsidR="00112C59" w:rsidRDefault="00112C59" w:rsidP="00112C59"/>
        </w:tc>
        <w:tc>
          <w:tcPr>
            <w:tcW w:w="2316" w:type="dxa"/>
            <w:shd w:val="clear" w:color="auto" w:fill="E2EFD9" w:themeFill="accent6" w:themeFillTint="33"/>
          </w:tcPr>
          <w:p w14:paraId="089AE670" w14:textId="4D046CE9" w:rsidR="00112C59" w:rsidRPr="00112C59" w:rsidRDefault="00112C59" w:rsidP="00112C59">
            <w:pPr>
              <w:rPr>
                <w:rFonts w:ascii="Calibri" w:eastAsia="Calibri" w:hAnsi="Calibri" w:cs="Calibri"/>
                <w:b/>
                <w:bCs/>
                <w:sz w:val="22"/>
                <w:szCs w:val="22"/>
              </w:rPr>
            </w:pPr>
            <w:r w:rsidRPr="00112C59">
              <w:rPr>
                <w:rFonts w:ascii="Calibri" w:eastAsia="Calibri" w:hAnsi="Calibri" w:cs="Calibri"/>
                <w:sz w:val="22"/>
                <w:szCs w:val="22"/>
              </w:rPr>
              <w:t xml:space="preserve">Completing the transformation: fostering learner autonomy through assessment literacy with International Foundation Students. - </w:t>
            </w:r>
            <w:r w:rsidRPr="00112C59">
              <w:rPr>
                <w:rFonts w:ascii="Calibri" w:eastAsia="Calibri" w:hAnsi="Calibri" w:cs="Calibri"/>
                <w:b/>
                <w:bCs/>
                <w:sz w:val="22"/>
                <w:szCs w:val="22"/>
              </w:rPr>
              <w:t xml:space="preserve">Sara </w:t>
            </w:r>
            <w:proofErr w:type="spellStart"/>
            <w:r w:rsidRPr="00112C59">
              <w:rPr>
                <w:rFonts w:ascii="Calibri" w:eastAsia="Calibri" w:hAnsi="Calibri" w:cs="Calibri"/>
                <w:b/>
                <w:bCs/>
                <w:sz w:val="22"/>
                <w:szCs w:val="22"/>
              </w:rPr>
              <w:t>Tempra</w:t>
            </w:r>
            <w:proofErr w:type="spellEnd"/>
          </w:p>
        </w:tc>
        <w:tc>
          <w:tcPr>
            <w:tcW w:w="2258" w:type="dxa"/>
            <w:shd w:val="clear" w:color="auto" w:fill="E2EFD9" w:themeFill="accent6" w:themeFillTint="33"/>
          </w:tcPr>
          <w:p w14:paraId="5E44620B" w14:textId="6779F22D" w:rsidR="00112C59" w:rsidRPr="00112C59" w:rsidRDefault="00112C59" w:rsidP="00112C59">
            <w:r w:rsidRPr="00112C59">
              <w:rPr>
                <w:rFonts w:ascii="Calibri" w:eastAsia="Calibri" w:hAnsi="Calibri" w:cs="Calibri"/>
                <w:sz w:val="22"/>
                <w:szCs w:val="22"/>
              </w:rPr>
              <w:t xml:space="preserve">Decolonising an IFP: The Practical Realities of Implementing Genuine Change. - </w:t>
            </w:r>
            <w:r w:rsidRPr="00112C59">
              <w:rPr>
                <w:rFonts w:ascii="Calibri" w:eastAsia="Calibri" w:hAnsi="Calibri" w:cs="Calibri"/>
                <w:b/>
                <w:bCs/>
                <w:sz w:val="22"/>
                <w:szCs w:val="22"/>
              </w:rPr>
              <w:t>Samantha Grierson and Rachel Evans</w:t>
            </w:r>
          </w:p>
          <w:p w14:paraId="593870C1" w14:textId="25809658" w:rsidR="00112C59" w:rsidRPr="00112C59" w:rsidRDefault="00112C59" w:rsidP="00112C59"/>
        </w:tc>
        <w:tc>
          <w:tcPr>
            <w:tcW w:w="2370" w:type="dxa"/>
            <w:shd w:val="clear" w:color="auto" w:fill="E2EFD9" w:themeFill="accent6" w:themeFillTint="33"/>
          </w:tcPr>
          <w:p w14:paraId="27C53BB1" w14:textId="381E5E25" w:rsidR="00112C59" w:rsidRPr="00112C59" w:rsidRDefault="00112C59" w:rsidP="00112C59">
            <w:pPr>
              <w:rPr>
                <w:rFonts w:ascii="Calibri" w:eastAsia="Calibri" w:hAnsi="Calibri" w:cs="Calibri"/>
                <w:sz w:val="22"/>
                <w:szCs w:val="22"/>
              </w:rPr>
            </w:pPr>
            <w:r w:rsidRPr="00112C59">
              <w:rPr>
                <w:rFonts w:ascii="Calibri" w:eastAsia="Calibri" w:hAnsi="Calibri" w:cs="Calibri"/>
                <w:sz w:val="22"/>
                <w:szCs w:val="22"/>
              </w:rPr>
              <w:t xml:space="preserve">CHAT'S the way I like it- or Integrating AI into teaching and learning routines. </w:t>
            </w:r>
            <w:r w:rsidRPr="00112C59">
              <w:rPr>
                <w:rFonts w:ascii="Calibri" w:eastAsia="Calibri" w:hAnsi="Calibri" w:cs="Calibri"/>
                <w:b/>
                <w:bCs/>
                <w:sz w:val="22"/>
                <w:szCs w:val="22"/>
              </w:rPr>
              <w:t xml:space="preserve">Aida </w:t>
            </w:r>
            <w:proofErr w:type="spellStart"/>
            <w:r w:rsidRPr="00112C59">
              <w:rPr>
                <w:rFonts w:ascii="Calibri" w:eastAsia="Calibri" w:hAnsi="Calibri" w:cs="Calibri"/>
                <w:b/>
                <w:bCs/>
                <w:sz w:val="22"/>
                <w:szCs w:val="22"/>
              </w:rPr>
              <w:t>Sahutoglu</w:t>
            </w:r>
            <w:proofErr w:type="spellEnd"/>
            <w:r w:rsidRPr="00112C59">
              <w:rPr>
                <w:rFonts w:ascii="Calibri" w:eastAsia="Calibri" w:hAnsi="Calibri" w:cs="Calibri"/>
                <w:b/>
                <w:bCs/>
                <w:sz w:val="22"/>
                <w:szCs w:val="22"/>
              </w:rPr>
              <w:t xml:space="preserve"> and Michael Weedy</w:t>
            </w:r>
          </w:p>
          <w:p w14:paraId="6C9F20E0" w14:textId="1AC7CC17" w:rsidR="00112C59" w:rsidRPr="00112C59" w:rsidRDefault="00112C59" w:rsidP="00112C59"/>
        </w:tc>
      </w:tr>
      <w:tr w:rsidR="00112C59" w14:paraId="273A08DD" w14:textId="77777777" w:rsidTr="2A21A488">
        <w:trPr>
          <w:trHeight w:val="300"/>
        </w:trPr>
        <w:tc>
          <w:tcPr>
            <w:tcW w:w="2072" w:type="dxa"/>
            <w:shd w:val="clear" w:color="auto" w:fill="E2EFD9" w:themeFill="accent6" w:themeFillTint="33"/>
          </w:tcPr>
          <w:p w14:paraId="6E762B87" w14:textId="1558283B" w:rsidR="00112C59" w:rsidRDefault="00112C59" w:rsidP="00112C59">
            <w:r>
              <w:t>11.15 – 11.55</w:t>
            </w:r>
          </w:p>
        </w:tc>
        <w:tc>
          <w:tcPr>
            <w:tcW w:w="2316" w:type="dxa"/>
            <w:shd w:val="clear" w:color="auto" w:fill="E2EFD9" w:themeFill="accent6" w:themeFillTint="33"/>
          </w:tcPr>
          <w:p w14:paraId="1033CBA8" w14:textId="61E885BB" w:rsidR="00112C59" w:rsidRPr="00112C59" w:rsidRDefault="00112C59" w:rsidP="00112C59">
            <w:r w:rsidRPr="00112C59">
              <w:rPr>
                <w:rFonts w:ascii="Calibri" w:eastAsia="Calibri" w:hAnsi="Calibri" w:cs="Calibri"/>
                <w:sz w:val="22"/>
                <w:szCs w:val="22"/>
              </w:rPr>
              <w:t xml:space="preserve">Assessment Through Portfolio and Reflective Writing as an EAP Learner Empowering Tool – </w:t>
            </w:r>
            <w:r w:rsidRPr="00112C59">
              <w:rPr>
                <w:rFonts w:ascii="Calibri" w:eastAsia="Calibri" w:hAnsi="Calibri" w:cs="Calibri"/>
                <w:b/>
                <w:bCs/>
                <w:sz w:val="22"/>
                <w:szCs w:val="22"/>
              </w:rPr>
              <w:t>Dina Strong</w:t>
            </w:r>
          </w:p>
        </w:tc>
        <w:tc>
          <w:tcPr>
            <w:tcW w:w="2258" w:type="dxa"/>
            <w:shd w:val="clear" w:color="auto" w:fill="E2EFD9" w:themeFill="accent6" w:themeFillTint="33"/>
          </w:tcPr>
          <w:p w14:paraId="0F14E7A9" w14:textId="0BD826B7" w:rsidR="00112C59" w:rsidRPr="00112C59" w:rsidRDefault="00112C59" w:rsidP="00112C59">
            <w:r w:rsidRPr="00112C59">
              <w:rPr>
                <w:rFonts w:ascii="Calibri" w:eastAsia="Calibri" w:hAnsi="Calibri" w:cs="Calibri"/>
                <w:sz w:val="22"/>
                <w:szCs w:val="22"/>
              </w:rPr>
              <w:t xml:space="preserve">Rethinking IFP Economics – </w:t>
            </w:r>
            <w:r w:rsidRPr="00112C59">
              <w:rPr>
                <w:rFonts w:ascii="Calibri" w:eastAsia="Calibri" w:hAnsi="Calibri" w:cs="Calibri"/>
                <w:b/>
                <w:bCs/>
                <w:sz w:val="22"/>
                <w:szCs w:val="22"/>
              </w:rPr>
              <w:t xml:space="preserve">Michael Elliott </w:t>
            </w:r>
          </w:p>
          <w:p w14:paraId="3B2FAD0A" w14:textId="2AC90328" w:rsidR="00112C59" w:rsidRPr="00112C59" w:rsidRDefault="00112C59" w:rsidP="00112C59"/>
        </w:tc>
        <w:tc>
          <w:tcPr>
            <w:tcW w:w="2370" w:type="dxa"/>
            <w:shd w:val="clear" w:color="auto" w:fill="E2EFD9" w:themeFill="accent6" w:themeFillTint="33"/>
          </w:tcPr>
          <w:p w14:paraId="6CC66417" w14:textId="2FBEFD33" w:rsidR="00112C59" w:rsidRPr="00112C59" w:rsidRDefault="00112C59" w:rsidP="00112C59">
            <w:pPr>
              <w:rPr>
                <w:rFonts w:ascii="Calibri" w:eastAsia="Calibri" w:hAnsi="Calibri" w:cs="Calibri"/>
                <w:b/>
                <w:bCs/>
                <w:sz w:val="22"/>
                <w:szCs w:val="22"/>
                <w:highlight w:val="magenta"/>
              </w:rPr>
            </w:pPr>
            <w:r w:rsidRPr="00112C59">
              <w:rPr>
                <w:rFonts w:ascii="Calibri" w:eastAsia="Calibri" w:hAnsi="Calibri" w:cs="Calibri"/>
                <w:sz w:val="22"/>
                <w:szCs w:val="22"/>
              </w:rPr>
              <w:t>AI machine translation - Students’ thoughts and how we can begin to engage –</w:t>
            </w:r>
            <w:r w:rsidRPr="00112C59">
              <w:rPr>
                <w:rFonts w:ascii="Calibri" w:eastAsia="Calibri" w:hAnsi="Calibri" w:cs="Calibri"/>
                <w:b/>
                <w:bCs/>
                <w:sz w:val="22"/>
                <w:szCs w:val="22"/>
              </w:rPr>
              <w:t>Philip Davies and Alan Kean</w:t>
            </w:r>
          </w:p>
        </w:tc>
      </w:tr>
      <w:tr w:rsidR="00112C59" w14:paraId="17B67CBF" w14:textId="77777777" w:rsidTr="2A21A488">
        <w:trPr>
          <w:trHeight w:val="300"/>
        </w:trPr>
        <w:tc>
          <w:tcPr>
            <w:tcW w:w="2072" w:type="dxa"/>
            <w:shd w:val="clear" w:color="auto" w:fill="A8D08D" w:themeFill="accent6" w:themeFillTint="99"/>
          </w:tcPr>
          <w:p w14:paraId="4888B6D5" w14:textId="2A609254" w:rsidR="00112C59" w:rsidRDefault="00112C59" w:rsidP="00112C59">
            <w:r>
              <w:t>12</w:t>
            </w:r>
            <w:r w:rsidR="00AD2B0C">
              <w:t>.</w:t>
            </w:r>
            <w:r>
              <w:t>00-13</w:t>
            </w:r>
            <w:r w:rsidR="00AD2B0C">
              <w:t>.</w:t>
            </w:r>
            <w:r>
              <w:t>00</w:t>
            </w:r>
          </w:p>
        </w:tc>
        <w:tc>
          <w:tcPr>
            <w:tcW w:w="6944" w:type="dxa"/>
            <w:gridSpan w:val="3"/>
            <w:shd w:val="clear" w:color="auto" w:fill="A8D08D" w:themeFill="accent6" w:themeFillTint="99"/>
          </w:tcPr>
          <w:p w14:paraId="680EB805" w14:textId="6BEAF603" w:rsidR="00112C59" w:rsidRDefault="4FC13ECB" w:rsidP="2A21A488">
            <w:pPr>
              <w:rPr>
                <w:rFonts w:eastAsiaTheme="minorEastAsia"/>
                <w:b/>
                <w:bCs/>
                <w:color w:val="000000" w:themeColor="text1"/>
              </w:rPr>
            </w:pPr>
            <w:r w:rsidRPr="2A21A488">
              <w:rPr>
                <w:rFonts w:eastAsiaTheme="minorEastAsia"/>
                <w:b/>
                <w:bCs/>
                <w:color w:val="000000" w:themeColor="text1"/>
              </w:rPr>
              <w:t>Lunch and Posters</w:t>
            </w:r>
            <w:r w:rsidR="357A47C8" w:rsidRPr="2A21A488">
              <w:rPr>
                <w:rFonts w:eastAsiaTheme="minorEastAsia"/>
                <w:b/>
                <w:bCs/>
                <w:color w:val="000000" w:themeColor="text1"/>
              </w:rPr>
              <w:t>:</w:t>
            </w:r>
          </w:p>
        </w:tc>
      </w:tr>
      <w:tr w:rsidR="00112C59" w14:paraId="40B6C6CE" w14:textId="77777777" w:rsidTr="2A21A488">
        <w:trPr>
          <w:trHeight w:val="300"/>
        </w:trPr>
        <w:tc>
          <w:tcPr>
            <w:tcW w:w="2072" w:type="dxa"/>
            <w:shd w:val="clear" w:color="auto" w:fill="E2EFD9" w:themeFill="accent6" w:themeFillTint="33"/>
          </w:tcPr>
          <w:p w14:paraId="72E74F41" w14:textId="5BF0B955" w:rsidR="00112C59" w:rsidRDefault="00112C59" w:rsidP="00112C59"/>
        </w:tc>
        <w:tc>
          <w:tcPr>
            <w:tcW w:w="2316" w:type="dxa"/>
            <w:shd w:val="clear" w:color="auto" w:fill="E2EFD9" w:themeFill="accent6" w:themeFillTint="33"/>
          </w:tcPr>
          <w:p w14:paraId="7872C0A7" w14:textId="5DD725FF" w:rsidR="00112C59" w:rsidRPr="00112C59" w:rsidRDefault="4FC13ECB" w:rsidP="00112C59">
            <w:pPr>
              <w:rPr>
                <w:rFonts w:ascii="Calibri" w:eastAsia="Calibri" w:hAnsi="Calibri" w:cs="Calibri"/>
              </w:rPr>
            </w:pPr>
            <w:r w:rsidRPr="2A21A488">
              <w:rPr>
                <w:rFonts w:ascii="Calibri" w:eastAsia="Calibri" w:hAnsi="Calibri" w:cs="Calibri"/>
                <w:color w:val="201F1E"/>
              </w:rPr>
              <w:t xml:space="preserve">Trust and psychological contract between academics and students as a factor </w:t>
            </w:r>
            <w:r w:rsidRPr="2A21A488">
              <w:rPr>
                <w:rFonts w:ascii="Calibri" w:eastAsia="Calibri" w:hAnsi="Calibri" w:cs="Calibri"/>
                <w:color w:val="201F1E"/>
              </w:rPr>
              <w:lastRenderedPageBreak/>
              <w:t>of academic integrity</w:t>
            </w:r>
            <w:r w:rsidRPr="2A21A488">
              <w:rPr>
                <w:rFonts w:ascii="Calibri" w:eastAsia="Calibri" w:hAnsi="Calibri" w:cs="Calibri"/>
                <w:b/>
                <w:bCs/>
                <w:color w:val="201F1E"/>
              </w:rPr>
              <w:t xml:space="preserve"> – Lucy Williams </w:t>
            </w:r>
          </w:p>
        </w:tc>
        <w:tc>
          <w:tcPr>
            <w:tcW w:w="2258" w:type="dxa"/>
            <w:shd w:val="clear" w:color="auto" w:fill="E2EFD9" w:themeFill="accent6" w:themeFillTint="33"/>
          </w:tcPr>
          <w:p w14:paraId="6555B39D" w14:textId="21D97DE2" w:rsidR="00112C59" w:rsidRPr="00112C59" w:rsidRDefault="4FC13ECB" w:rsidP="00112C59">
            <w:pPr>
              <w:rPr>
                <w:rFonts w:ascii="Calibri" w:eastAsia="Calibri" w:hAnsi="Calibri" w:cs="Calibri"/>
              </w:rPr>
            </w:pPr>
            <w:r w:rsidRPr="2A21A488">
              <w:rPr>
                <w:rFonts w:ascii="Calibri" w:eastAsia="Calibri" w:hAnsi="Calibri" w:cs="Calibri"/>
                <w:color w:val="201F1E"/>
              </w:rPr>
              <w:lastRenderedPageBreak/>
              <w:t xml:space="preserve">Addressing the Elephant in the Room: departmental approaches to reduce academic misconduct in a </w:t>
            </w:r>
            <w:r w:rsidRPr="2A21A488">
              <w:rPr>
                <w:rFonts w:ascii="Calibri" w:eastAsia="Calibri" w:hAnsi="Calibri" w:cs="Calibri"/>
                <w:color w:val="201F1E"/>
              </w:rPr>
              <w:lastRenderedPageBreak/>
              <w:t>Foundation Course</w:t>
            </w:r>
            <w:r w:rsidRPr="2A21A488">
              <w:rPr>
                <w:rFonts w:ascii="Calibri" w:eastAsia="Calibri" w:hAnsi="Calibri" w:cs="Calibri"/>
                <w:b/>
                <w:bCs/>
                <w:color w:val="201F1E"/>
              </w:rPr>
              <w:t xml:space="preserve"> – Chris Massell</w:t>
            </w:r>
          </w:p>
        </w:tc>
        <w:tc>
          <w:tcPr>
            <w:tcW w:w="2370" w:type="dxa"/>
            <w:shd w:val="clear" w:color="auto" w:fill="E2EFD9" w:themeFill="accent6" w:themeFillTint="33"/>
          </w:tcPr>
          <w:p w14:paraId="2B053D23" w14:textId="0CA1213E" w:rsidR="00112C59" w:rsidRDefault="2F13B164" w:rsidP="2A21A488">
            <w:pPr>
              <w:rPr>
                <w:rFonts w:ascii="Calibri" w:eastAsia="Calibri" w:hAnsi="Calibri" w:cs="Calibri"/>
              </w:rPr>
            </w:pPr>
            <w:r w:rsidRPr="2A21A488">
              <w:rPr>
                <w:rFonts w:ascii="Calibri" w:eastAsia="Calibri" w:hAnsi="Calibri" w:cs="Calibri"/>
                <w:color w:val="201F1E"/>
              </w:rPr>
              <w:lastRenderedPageBreak/>
              <w:t xml:space="preserve">The impact of prior learning experiences on the academic performance of Foundation Business Management </w:t>
            </w:r>
            <w:r w:rsidRPr="2A21A488">
              <w:rPr>
                <w:rFonts w:ascii="Calibri" w:eastAsia="Calibri" w:hAnsi="Calibri" w:cs="Calibri"/>
                <w:color w:val="201F1E"/>
              </w:rPr>
              <w:lastRenderedPageBreak/>
              <w:t>student</w:t>
            </w:r>
            <w:r w:rsidRPr="2A21A488">
              <w:rPr>
                <w:rFonts w:ascii="Calibri" w:eastAsia="Calibri" w:hAnsi="Calibri" w:cs="Calibri"/>
                <w:b/>
                <w:bCs/>
                <w:color w:val="201F1E"/>
              </w:rPr>
              <w:t>s – Judith Gorham and Diana Adjei Nyarko</w:t>
            </w:r>
          </w:p>
          <w:p w14:paraId="23D86C12" w14:textId="7003BA44" w:rsidR="00112C59" w:rsidRDefault="00112C59" w:rsidP="2A21A488">
            <w:pPr>
              <w:rPr>
                <w:rFonts w:eastAsiaTheme="minorEastAsia"/>
                <w:b/>
                <w:bCs/>
                <w:color w:val="000000" w:themeColor="text1"/>
              </w:rPr>
            </w:pPr>
          </w:p>
        </w:tc>
      </w:tr>
      <w:tr w:rsidR="00112C59" w14:paraId="7C2BF8FD" w14:textId="77777777" w:rsidTr="2A21A488">
        <w:trPr>
          <w:trHeight w:val="300"/>
        </w:trPr>
        <w:tc>
          <w:tcPr>
            <w:tcW w:w="2072" w:type="dxa"/>
            <w:shd w:val="clear" w:color="auto" w:fill="A8D08D" w:themeFill="accent6" w:themeFillTint="99"/>
          </w:tcPr>
          <w:p w14:paraId="40B99139" w14:textId="2C314B3D" w:rsidR="00112C59" w:rsidRDefault="00112C59" w:rsidP="00112C59">
            <w:r>
              <w:lastRenderedPageBreak/>
              <w:t>13.00 – 13.40</w:t>
            </w:r>
          </w:p>
        </w:tc>
        <w:tc>
          <w:tcPr>
            <w:tcW w:w="2316" w:type="dxa"/>
            <w:shd w:val="clear" w:color="auto" w:fill="A8D08D" w:themeFill="accent6" w:themeFillTint="99"/>
          </w:tcPr>
          <w:p w14:paraId="2A050DBA" w14:textId="0E51C620" w:rsidR="00112C59" w:rsidRPr="503FEE80" w:rsidRDefault="00112C59" w:rsidP="00112C59">
            <w:pPr>
              <w:rPr>
                <w:rFonts w:ascii="Calibri" w:eastAsia="Calibri" w:hAnsi="Calibri" w:cs="Calibri"/>
                <w:color w:val="7030A0"/>
                <w:sz w:val="22"/>
                <w:szCs w:val="22"/>
              </w:rPr>
            </w:pPr>
            <w:r w:rsidRPr="00112C59">
              <w:rPr>
                <w:b/>
                <w:bCs/>
              </w:rPr>
              <w:t>Plenary room</w:t>
            </w:r>
            <w:r w:rsidR="00186742">
              <w:rPr>
                <w:b/>
                <w:bCs/>
              </w:rPr>
              <w:t xml:space="preserve"> B.H05</w:t>
            </w:r>
          </w:p>
        </w:tc>
        <w:tc>
          <w:tcPr>
            <w:tcW w:w="2258" w:type="dxa"/>
            <w:shd w:val="clear" w:color="auto" w:fill="A8D08D" w:themeFill="accent6" w:themeFillTint="99"/>
          </w:tcPr>
          <w:p w14:paraId="1EEC6021" w14:textId="7F0A8FCC" w:rsidR="00112C59" w:rsidRPr="00186742" w:rsidRDefault="00186742" w:rsidP="00112C59">
            <w:pPr>
              <w:rPr>
                <w:rFonts w:ascii="Calibri" w:eastAsia="Calibri" w:hAnsi="Calibri" w:cs="Calibri"/>
                <w:b/>
                <w:bCs/>
                <w:color w:val="000000" w:themeColor="text1"/>
              </w:rPr>
            </w:pPr>
            <w:r>
              <w:rPr>
                <w:rFonts w:ascii="Calibri" w:eastAsia="Calibri" w:hAnsi="Calibri" w:cs="Calibri"/>
                <w:b/>
                <w:bCs/>
                <w:color w:val="000000" w:themeColor="text1"/>
              </w:rPr>
              <w:t>Seminar 1 G.H03</w:t>
            </w:r>
          </w:p>
        </w:tc>
        <w:tc>
          <w:tcPr>
            <w:tcW w:w="2370" w:type="dxa"/>
            <w:shd w:val="clear" w:color="auto" w:fill="A8D08D" w:themeFill="accent6" w:themeFillTint="99"/>
          </w:tcPr>
          <w:p w14:paraId="6D30975F" w14:textId="4076B102" w:rsidR="00112C59" w:rsidRPr="503FEE80" w:rsidRDefault="00186742" w:rsidP="00112C59">
            <w:pPr>
              <w:rPr>
                <w:rFonts w:ascii="Calibri" w:eastAsia="Calibri" w:hAnsi="Calibri" w:cs="Calibri"/>
                <w:color w:val="7030A0"/>
                <w:sz w:val="22"/>
                <w:szCs w:val="22"/>
              </w:rPr>
            </w:pPr>
            <w:r>
              <w:rPr>
                <w:b/>
                <w:bCs/>
              </w:rPr>
              <w:t>Seminar 2 G.H04</w:t>
            </w:r>
          </w:p>
        </w:tc>
      </w:tr>
      <w:tr w:rsidR="00112C59" w14:paraId="499B4237" w14:textId="77777777" w:rsidTr="2A21A488">
        <w:trPr>
          <w:trHeight w:val="300"/>
        </w:trPr>
        <w:tc>
          <w:tcPr>
            <w:tcW w:w="2072" w:type="dxa"/>
            <w:shd w:val="clear" w:color="auto" w:fill="E2EFD9" w:themeFill="accent6" w:themeFillTint="33"/>
          </w:tcPr>
          <w:p w14:paraId="3B12AB57" w14:textId="77777777" w:rsidR="00112C59" w:rsidRDefault="00112C59" w:rsidP="00112C59"/>
          <w:p w14:paraId="3E088F4B" w14:textId="7A20385A" w:rsidR="00112C59" w:rsidRDefault="00112C59" w:rsidP="00112C59"/>
        </w:tc>
        <w:tc>
          <w:tcPr>
            <w:tcW w:w="2316" w:type="dxa"/>
            <w:shd w:val="clear" w:color="auto" w:fill="E2EFD9" w:themeFill="accent6" w:themeFillTint="33"/>
          </w:tcPr>
          <w:p w14:paraId="4AEA33E6" w14:textId="5D00ABD3" w:rsidR="00112C59" w:rsidRPr="00112C59" w:rsidRDefault="00112C59" w:rsidP="00112C59">
            <w:r w:rsidRPr="00112C59">
              <w:rPr>
                <w:rFonts w:ascii="Calibri" w:eastAsia="Calibri" w:hAnsi="Calibri" w:cs="Calibri"/>
                <w:sz w:val="22"/>
                <w:szCs w:val="22"/>
              </w:rPr>
              <w:t xml:space="preserve">Scaffolding learning through multi-layered formative feedback – </w:t>
            </w:r>
            <w:r w:rsidRPr="00112C59">
              <w:rPr>
                <w:rFonts w:ascii="Calibri" w:eastAsia="Calibri" w:hAnsi="Calibri" w:cs="Calibri"/>
                <w:b/>
                <w:bCs/>
                <w:sz w:val="22"/>
                <w:szCs w:val="22"/>
              </w:rPr>
              <w:t>Samantha Grierson</w:t>
            </w:r>
          </w:p>
          <w:p w14:paraId="030FA789" w14:textId="1C84F9CE" w:rsidR="00112C59" w:rsidRPr="00112C59" w:rsidRDefault="00112C59" w:rsidP="00112C59"/>
        </w:tc>
        <w:tc>
          <w:tcPr>
            <w:tcW w:w="2258" w:type="dxa"/>
            <w:shd w:val="clear" w:color="auto" w:fill="E2EFD9" w:themeFill="accent6" w:themeFillTint="33"/>
          </w:tcPr>
          <w:p w14:paraId="1CEEB03E" w14:textId="1A322C05" w:rsidR="00112C59" w:rsidRPr="00520863" w:rsidRDefault="00112C59" w:rsidP="00112C59">
            <w:pPr>
              <w:rPr>
                <w:rFonts w:ascii="Calibri" w:eastAsia="Calibri" w:hAnsi="Calibri" w:cs="Calibri"/>
                <w:sz w:val="22"/>
                <w:szCs w:val="22"/>
              </w:rPr>
            </w:pPr>
            <w:r w:rsidRPr="00112C59">
              <w:rPr>
                <w:rFonts w:ascii="Calibri" w:eastAsia="Calibri" w:hAnsi="Calibri" w:cs="Calibri"/>
                <w:sz w:val="22"/>
                <w:szCs w:val="22"/>
              </w:rPr>
              <w:t xml:space="preserve">Coping with content: an integrated approach on an EAP foundation year </w:t>
            </w:r>
            <w:r w:rsidRPr="00112C59">
              <w:rPr>
                <w:rFonts w:ascii="Calibri" w:eastAsia="Calibri" w:hAnsi="Calibri" w:cs="Calibri"/>
                <w:i/>
                <w:iCs/>
                <w:sz w:val="22"/>
                <w:szCs w:val="22"/>
              </w:rPr>
              <w:t xml:space="preserve">(med) </w:t>
            </w:r>
            <w:r w:rsidRPr="00112C59">
              <w:rPr>
                <w:rFonts w:ascii="Calibri" w:eastAsia="Calibri" w:hAnsi="Calibri" w:cs="Calibri"/>
                <w:b/>
                <w:bCs/>
                <w:sz w:val="22"/>
                <w:szCs w:val="22"/>
              </w:rPr>
              <w:t xml:space="preserve">Louise Pullen and </w:t>
            </w:r>
            <w:proofErr w:type="spellStart"/>
            <w:r w:rsidRPr="00112C59">
              <w:rPr>
                <w:rFonts w:ascii="Calibri" w:eastAsia="Calibri" w:hAnsi="Calibri" w:cs="Calibri"/>
                <w:b/>
                <w:bCs/>
                <w:sz w:val="22"/>
                <w:szCs w:val="22"/>
              </w:rPr>
              <w:t>Dagmara</w:t>
            </w:r>
            <w:proofErr w:type="spellEnd"/>
            <w:r w:rsidRPr="00112C59">
              <w:rPr>
                <w:rFonts w:ascii="Calibri" w:eastAsia="Calibri" w:hAnsi="Calibri" w:cs="Calibri"/>
                <w:b/>
                <w:bCs/>
                <w:sz w:val="22"/>
                <w:szCs w:val="22"/>
              </w:rPr>
              <w:t xml:space="preserve"> </w:t>
            </w:r>
            <w:proofErr w:type="spellStart"/>
            <w:r w:rsidRPr="00112C59">
              <w:rPr>
                <w:rFonts w:ascii="Calibri" w:eastAsia="Calibri" w:hAnsi="Calibri" w:cs="Calibri"/>
                <w:b/>
                <w:bCs/>
                <w:sz w:val="22"/>
                <w:szCs w:val="22"/>
              </w:rPr>
              <w:t>Grabas</w:t>
            </w:r>
            <w:proofErr w:type="spellEnd"/>
          </w:p>
        </w:tc>
        <w:tc>
          <w:tcPr>
            <w:tcW w:w="2370" w:type="dxa"/>
            <w:shd w:val="clear" w:color="auto" w:fill="E2EFD9" w:themeFill="accent6" w:themeFillTint="33"/>
          </w:tcPr>
          <w:p w14:paraId="2A9C472C" w14:textId="577FD339" w:rsidR="00112C59" w:rsidRPr="00112C59" w:rsidRDefault="00112C59" w:rsidP="00112C59">
            <w:r w:rsidRPr="00112C59">
              <w:rPr>
                <w:rFonts w:ascii="Calibri" w:eastAsia="Calibri" w:hAnsi="Calibri" w:cs="Calibri"/>
                <w:sz w:val="22"/>
                <w:szCs w:val="22"/>
              </w:rPr>
              <w:t xml:space="preserve">Student and staff perceptions of Digital Competencies for IFY students – </w:t>
            </w:r>
            <w:r w:rsidRPr="00112C59">
              <w:rPr>
                <w:rFonts w:ascii="Calibri" w:eastAsia="Calibri" w:hAnsi="Calibri" w:cs="Calibri"/>
                <w:b/>
                <w:bCs/>
                <w:sz w:val="22"/>
                <w:szCs w:val="22"/>
              </w:rPr>
              <w:t>Paul Robertson</w:t>
            </w:r>
            <w:r w:rsidRPr="00112C59">
              <w:rPr>
                <w:rFonts w:ascii="Calibri" w:eastAsia="Calibri" w:hAnsi="Calibri" w:cs="Calibri"/>
                <w:sz w:val="22"/>
                <w:szCs w:val="22"/>
              </w:rPr>
              <w:t xml:space="preserve"> </w:t>
            </w:r>
          </w:p>
          <w:p w14:paraId="00E1CC5D" w14:textId="06251413" w:rsidR="00112C59" w:rsidRPr="00112C59" w:rsidRDefault="00112C59" w:rsidP="00112C59"/>
        </w:tc>
      </w:tr>
      <w:tr w:rsidR="00112C59" w14:paraId="49CB9F0B" w14:textId="77777777" w:rsidTr="2A21A488">
        <w:trPr>
          <w:trHeight w:val="300"/>
        </w:trPr>
        <w:tc>
          <w:tcPr>
            <w:tcW w:w="2072" w:type="dxa"/>
            <w:shd w:val="clear" w:color="auto" w:fill="E2EFD9" w:themeFill="accent6" w:themeFillTint="33"/>
          </w:tcPr>
          <w:p w14:paraId="3EDBD046" w14:textId="45CD0DA7" w:rsidR="00112C59" w:rsidRDefault="00112C59" w:rsidP="00112C59">
            <w:r>
              <w:t>13.45 – 14.25</w:t>
            </w:r>
          </w:p>
        </w:tc>
        <w:tc>
          <w:tcPr>
            <w:tcW w:w="2316" w:type="dxa"/>
            <w:shd w:val="clear" w:color="auto" w:fill="E2EFD9" w:themeFill="accent6" w:themeFillTint="33"/>
          </w:tcPr>
          <w:p w14:paraId="0C8E136F" w14:textId="1F42F820" w:rsidR="00112C59" w:rsidRPr="00520863" w:rsidRDefault="00112C59" w:rsidP="00112C59">
            <w:pPr>
              <w:rPr>
                <w:rFonts w:ascii="Calibri" w:eastAsia="Calibri" w:hAnsi="Calibri" w:cs="Calibri"/>
                <w:sz w:val="22"/>
                <w:szCs w:val="22"/>
              </w:rPr>
            </w:pPr>
            <w:r w:rsidRPr="00112C59">
              <w:rPr>
                <w:rFonts w:ascii="Calibri" w:eastAsia="Calibri" w:hAnsi="Calibri" w:cs="Calibri"/>
                <w:sz w:val="22"/>
                <w:szCs w:val="22"/>
              </w:rPr>
              <w:t xml:space="preserve">"Yes, but does it count?" Understanding and fostering greater engagement with non-credit formative tasks – </w:t>
            </w:r>
            <w:r w:rsidRPr="00112C59">
              <w:rPr>
                <w:rFonts w:ascii="Calibri" w:eastAsia="Calibri" w:hAnsi="Calibri" w:cs="Calibri"/>
                <w:b/>
                <w:bCs/>
                <w:sz w:val="22"/>
                <w:szCs w:val="22"/>
              </w:rPr>
              <w:t>Sophia</w:t>
            </w:r>
            <w:r w:rsidR="00A332F5">
              <w:rPr>
                <w:rFonts w:ascii="Calibri" w:eastAsia="Calibri" w:hAnsi="Calibri" w:cs="Calibri"/>
                <w:b/>
                <w:bCs/>
                <w:sz w:val="22"/>
                <w:szCs w:val="22"/>
              </w:rPr>
              <w:t xml:space="preserve"> </w:t>
            </w:r>
            <w:proofErr w:type="spellStart"/>
            <w:r w:rsidR="00A332F5">
              <w:rPr>
                <w:rFonts w:ascii="Calibri" w:eastAsia="Calibri" w:hAnsi="Calibri" w:cs="Calibri"/>
                <w:b/>
                <w:bCs/>
                <w:sz w:val="22"/>
                <w:szCs w:val="22"/>
              </w:rPr>
              <w:t>Vanttinen</w:t>
            </w:r>
            <w:proofErr w:type="spellEnd"/>
            <w:r w:rsidR="00A332F5">
              <w:rPr>
                <w:rFonts w:ascii="Calibri" w:eastAsia="Calibri" w:hAnsi="Calibri" w:cs="Calibri"/>
                <w:b/>
                <w:bCs/>
                <w:sz w:val="22"/>
                <w:szCs w:val="22"/>
              </w:rPr>
              <w:t>-Newton</w:t>
            </w:r>
          </w:p>
        </w:tc>
        <w:tc>
          <w:tcPr>
            <w:tcW w:w="2258" w:type="dxa"/>
            <w:shd w:val="clear" w:color="auto" w:fill="E2EFD9" w:themeFill="accent6" w:themeFillTint="33"/>
          </w:tcPr>
          <w:p w14:paraId="48ACBAF5" w14:textId="06BE4BFC" w:rsidR="00112C59" w:rsidRPr="00520863" w:rsidRDefault="4FC13ECB" w:rsidP="00112C59">
            <w:pPr>
              <w:rPr>
                <w:rFonts w:ascii="Calibri" w:eastAsia="Calibri" w:hAnsi="Calibri" w:cs="Calibri"/>
                <w:sz w:val="22"/>
                <w:szCs w:val="22"/>
              </w:rPr>
            </w:pPr>
            <w:r w:rsidRPr="2A21A488">
              <w:rPr>
                <w:rFonts w:ascii="Calibri" w:eastAsia="Calibri" w:hAnsi="Calibri" w:cs="Calibri"/>
                <w:sz w:val="22"/>
                <w:szCs w:val="22"/>
              </w:rPr>
              <w:t xml:space="preserve">Decolonialising pedagogy – Incorporating non-verbal seminar </w:t>
            </w:r>
            <w:bookmarkStart w:id="0" w:name="_Int_AGj9UrKG"/>
            <w:proofErr w:type="gramStart"/>
            <w:r w:rsidRPr="2A21A488">
              <w:rPr>
                <w:rFonts w:ascii="Calibri" w:eastAsia="Calibri" w:hAnsi="Calibri" w:cs="Calibri"/>
                <w:sz w:val="22"/>
                <w:szCs w:val="22"/>
              </w:rPr>
              <w:t>engagement  -</w:t>
            </w:r>
            <w:bookmarkEnd w:id="0"/>
            <w:proofErr w:type="gramEnd"/>
            <w:r w:rsidRPr="2A21A488">
              <w:rPr>
                <w:rFonts w:ascii="Calibri" w:eastAsia="Calibri" w:hAnsi="Calibri" w:cs="Calibri"/>
                <w:sz w:val="22"/>
                <w:szCs w:val="22"/>
              </w:rPr>
              <w:t xml:space="preserve"> </w:t>
            </w:r>
            <w:r w:rsidRPr="2A21A488">
              <w:rPr>
                <w:rFonts w:ascii="Calibri" w:eastAsia="Calibri" w:hAnsi="Calibri" w:cs="Calibri"/>
                <w:b/>
                <w:bCs/>
                <w:sz w:val="22"/>
                <w:szCs w:val="22"/>
              </w:rPr>
              <w:t>Martina Klett-Davis</w:t>
            </w:r>
          </w:p>
        </w:tc>
        <w:tc>
          <w:tcPr>
            <w:tcW w:w="2370" w:type="dxa"/>
            <w:shd w:val="clear" w:color="auto" w:fill="E2EFD9" w:themeFill="accent6" w:themeFillTint="33"/>
          </w:tcPr>
          <w:p w14:paraId="3C79B9C9" w14:textId="20677626" w:rsidR="00112C59" w:rsidRPr="00112C59" w:rsidRDefault="00112C59" w:rsidP="00112C59">
            <w:pPr>
              <w:rPr>
                <w:rFonts w:ascii="Calibri" w:eastAsia="Calibri" w:hAnsi="Calibri" w:cs="Calibri"/>
                <w:sz w:val="22"/>
                <w:szCs w:val="22"/>
              </w:rPr>
            </w:pPr>
            <w:r w:rsidRPr="00112C59">
              <w:rPr>
                <w:rFonts w:ascii="Calibri" w:eastAsia="Calibri" w:hAnsi="Calibri" w:cs="Calibri"/>
                <w:sz w:val="22"/>
                <w:szCs w:val="22"/>
              </w:rPr>
              <w:t>Digital dialogue pedagogy on academic skill</w:t>
            </w:r>
            <w:r w:rsidR="00AD2B0C">
              <w:rPr>
                <w:rFonts w:ascii="Calibri" w:eastAsia="Calibri" w:hAnsi="Calibri" w:cs="Calibri"/>
                <w:sz w:val="22"/>
                <w:szCs w:val="22"/>
              </w:rPr>
              <w:t>s</w:t>
            </w:r>
            <w:r w:rsidRPr="00112C59">
              <w:rPr>
                <w:rFonts w:ascii="Calibri" w:eastAsia="Calibri" w:hAnsi="Calibri" w:cs="Calibri"/>
                <w:sz w:val="22"/>
                <w:szCs w:val="22"/>
              </w:rPr>
              <w:t xml:space="preserve"> - </w:t>
            </w:r>
            <w:proofErr w:type="spellStart"/>
            <w:r w:rsidRPr="00112C59">
              <w:rPr>
                <w:rFonts w:ascii="Calibri" w:eastAsia="Calibri" w:hAnsi="Calibri" w:cs="Calibri"/>
                <w:b/>
                <w:bCs/>
                <w:sz w:val="22"/>
                <w:szCs w:val="22"/>
              </w:rPr>
              <w:t>Xiangyu</w:t>
            </w:r>
            <w:proofErr w:type="spellEnd"/>
            <w:r w:rsidRPr="00112C59">
              <w:rPr>
                <w:rFonts w:ascii="Calibri" w:eastAsia="Calibri" w:hAnsi="Calibri" w:cs="Calibri"/>
                <w:b/>
                <w:bCs/>
                <w:sz w:val="22"/>
                <w:szCs w:val="22"/>
              </w:rPr>
              <w:t xml:space="preserve"> Zeng</w:t>
            </w:r>
          </w:p>
          <w:p w14:paraId="7A3E8ED3" w14:textId="628736DD" w:rsidR="00112C59" w:rsidRPr="00112C59" w:rsidRDefault="00112C59" w:rsidP="00112C59"/>
        </w:tc>
      </w:tr>
      <w:tr w:rsidR="00AD2B0C" w14:paraId="6D682055" w14:textId="77777777" w:rsidTr="2A21A488">
        <w:trPr>
          <w:trHeight w:val="300"/>
        </w:trPr>
        <w:tc>
          <w:tcPr>
            <w:tcW w:w="2072" w:type="dxa"/>
            <w:shd w:val="clear" w:color="auto" w:fill="A8D08D" w:themeFill="accent6" w:themeFillTint="99"/>
          </w:tcPr>
          <w:p w14:paraId="5C9DFA4D" w14:textId="4F1FB8E3" w:rsidR="00AD2B0C" w:rsidRDefault="00AD2B0C" w:rsidP="00AD2B0C">
            <w:r>
              <w:t>14.25-14.40</w:t>
            </w:r>
          </w:p>
        </w:tc>
        <w:tc>
          <w:tcPr>
            <w:tcW w:w="6944" w:type="dxa"/>
            <w:gridSpan w:val="3"/>
            <w:shd w:val="clear" w:color="auto" w:fill="A8D08D" w:themeFill="accent6" w:themeFillTint="99"/>
          </w:tcPr>
          <w:p w14:paraId="05140DF5" w14:textId="7A1AD272" w:rsidR="00AD2B0C" w:rsidRDefault="00AD2B0C" w:rsidP="00AD2B0C">
            <w:r w:rsidRPr="00112C59">
              <w:rPr>
                <w:b/>
                <w:bCs/>
              </w:rPr>
              <w:t>Coffee and Biscuits</w:t>
            </w:r>
          </w:p>
        </w:tc>
      </w:tr>
      <w:tr w:rsidR="00AD2B0C" w14:paraId="128223C5" w14:textId="77777777" w:rsidTr="2A21A488">
        <w:trPr>
          <w:trHeight w:val="300"/>
        </w:trPr>
        <w:tc>
          <w:tcPr>
            <w:tcW w:w="2072" w:type="dxa"/>
            <w:shd w:val="clear" w:color="auto" w:fill="E2EFD9" w:themeFill="accent6" w:themeFillTint="33"/>
          </w:tcPr>
          <w:p w14:paraId="18A627CF" w14:textId="665EE116" w:rsidR="00AD2B0C" w:rsidRDefault="00AD2B0C" w:rsidP="00AD2B0C">
            <w:r>
              <w:t>14.40 – 15.20</w:t>
            </w:r>
          </w:p>
        </w:tc>
        <w:tc>
          <w:tcPr>
            <w:tcW w:w="2316" w:type="dxa"/>
            <w:shd w:val="clear" w:color="auto" w:fill="E2EFD9" w:themeFill="accent6" w:themeFillTint="33"/>
          </w:tcPr>
          <w:p w14:paraId="270C789D" w14:textId="2F41F817" w:rsidR="00AD2B0C" w:rsidRPr="00AD2B0C" w:rsidRDefault="00AD2B0C" w:rsidP="00AD2B0C">
            <w:pPr>
              <w:rPr>
                <w:rFonts w:ascii="Calibri" w:eastAsia="Calibri" w:hAnsi="Calibri" w:cs="Calibri"/>
                <w:sz w:val="22"/>
                <w:szCs w:val="22"/>
              </w:rPr>
            </w:pPr>
            <w:r w:rsidRPr="00AD2B0C">
              <w:rPr>
                <w:rFonts w:ascii="Calibri" w:eastAsia="Calibri" w:hAnsi="Calibri" w:cs="Calibri"/>
                <w:sz w:val="22"/>
                <w:szCs w:val="22"/>
              </w:rPr>
              <w:t xml:space="preserve">T is for Transformer: Let’s not talk about </w:t>
            </w:r>
            <w:proofErr w:type="spellStart"/>
            <w:r w:rsidRPr="00AD2B0C">
              <w:rPr>
                <w:rFonts w:ascii="Calibri" w:eastAsia="Calibri" w:hAnsi="Calibri" w:cs="Calibri"/>
                <w:sz w:val="22"/>
                <w:szCs w:val="22"/>
              </w:rPr>
              <w:t>ChatGPT</w:t>
            </w:r>
            <w:proofErr w:type="spellEnd"/>
            <w:r w:rsidRPr="00AD2B0C">
              <w:rPr>
                <w:rFonts w:ascii="Calibri" w:eastAsia="Calibri" w:hAnsi="Calibri" w:cs="Calibri"/>
                <w:sz w:val="22"/>
                <w:szCs w:val="22"/>
              </w:rPr>
              <w:t xml:space="preserve"> – </w:t>
            </w:r>
            <w:r w:rsidRPr="00AD2B0C">
              <w:rPr>
                <w:rFonts w:ascii="Calibri" w:eastAsia="Calibri" w:hAnsi="Calibri" w:cs="Calibri"/>
                <w:b/>
                <w:bCs/>
                <w:sz w:val="22"/>
                <w:szCs w:val="22"/>
              </w:rPr>
              <w:t xml:space="preserve">Michael </w:t>
            </w:r>
            <w:proofErr w:type="spellStart"/>
            <w:r w:rsidRPr="00AD2B0C">
              <w:rPr>
                <w:rFonts w:ascii="Calibri" w:eastAsia="Calibri" w:hAnsi="Calibri" w:cs="Calibri"/>
                <w:b/>
                <w:bCs/>
                <w:sz w:val="22"/>
                <w:szCs w:val="22"/>
              </w:rPr>
              <w:t>Marcinkowski</w:t>
            </w:r>
            <w:proofErr w:type="spellEnd"/>
            <w:r w:rsidRPr="00AD2B0C">
              <w:rPr>
                <w:rFonts w:ascii="Calibri" w:eastAsia="Calibri" w:hAnsi="Calibri" w:cs="Calibri"/>
                <w:b/>
                <w:bCs/>
                <w:sz w:val="22"/>
                <w:szCs w:val="22"/>
              </w:rPr>
              <w:t xml:space="preserve"> and Kathleen Burrows</w:t>
            </w:r>
          </w:p>
          <w:p w14:paraId="22EF92BC" w14:textId="7DC5E977" w:rsidR="00AD2B0C" w:rsidRPr="00AD2B0C" w:rsidRDefault="00AD2B0C" w:rsidP="00AD2B0C"/>
          <w:p w14:paraId="7ED6D4D6" w14:textId="2C9A8380" w:rsidR="00AD2B0C" w:rsidRPr="00AD2B0C" w:rsidRDefault="00AD2B0C" w:rsidP="00AD2B0C"/>
        </w:tc>
        <w:tc>
          <w:tcPr>
            <w:tcW w:w="2258" w:type="dxa"/>
            <w:shd w:val="clear" w:color="auto" w:fill="E2EFD9" w:themeFill="accent6" w:themeFillTint="33"/>
          </w:tcPr>
          <w:p w14:paraId="7679327C" w14:textId="274D3535" w:rsidR="00AD2B0C" w:rsidRPr="00AD2B0C" w:rsidRDefault="00AD2B0C" w:rsidP="00AD2B0C">
            <w:pPr>
              <w:rPr>
                <w:rFonts w:ascii="Calibri" w:eastAsia="Calibri" w:hAnsi="Calibri" w:cs="Calibri"/>
                <w:sz w:val="22"/>
                <w:szCs w:val="22"/>
              </w:rPr>
            </w:pPr>
            <w:r w:rsidRPr="00AD2B0C">
              <w:rPr>
                <w:rFonts w:ascii="Calibri" w:eastAsia="Calibri" w:hAnsi="Calibri" w:cs="Calibri"/>
                <w:sz w:val="22"/>
                <w:szCs w:val="22"/>
              </w:rPr>
              <w:t xml:space="preserve">Investigating STEM pathway students’ perceptions of reflective practice: views and attitudes in a case study – </w:t>
            </w:r>
            <w:r w:rsidRPr="00AD2B0C">
              <w:rPr>
                <w:rFonts w:ascii="Calibri" w:eastAsia="Calibri" w:hAnsi="Calibri" w:cs="Calibri"/>
                <w:b/>
                <w:bCs/>
                <w:sz w:val="22"/>
                <w:szCs w:val="22"/>
              </w:rPr>
              <w:t>Maggie Boswell</w:t>
            </w:r>
          </w:p>
        </w:tc>
        <w:tc>
          <w:tcPr>
            <w:tcW w:w="2370" w:type="dxa"/>
            <w:shd w:val="clear" w:color="auto" w:fill="E2EFD9" w:themeFill="accent6" w:themeFillTint="33"/>
          </w:tcPr>
          <w:p w14:paraId="0D1A1C44" w14:textId="389367E4" w:rsidR="00AD2B0C" w:rsidRPr="00AD2B0C" w:rsidRDefault="00AD2B0C" w:rsidP="00AD2B0C">
            <w:pPr>
              <w:rPr>
                <w:rFonts w:ascii="Calibri" w:eastAsia="Calibri" w:hAnsi="Calibri" w:cs="Calibri"/>
                <w:b/>
                <w:bCs/>
                <w:sz w:val="22"/>
                <w:szCs w:val="22"/>
              </w:rPr>
            </w:pPr>
            <w:r w:rsidRPr="00AD2B0C">
              <w:rPr>
                <w:rFonts w:ascii="Calibri" w:eastAsia="Calibri" w:hAnsi="Calibri" w:cs="Calibri"/>
                <w:sz w:val="22"/>
                <w:szCs w:val="22"/>
              </w:rPr>
              <w:t xml:space="preserve">Offering a blended IFP: Opportunities and challenges – </w:t>
            </w:r>
            <w:r w:rsidRPr="00AD2B0C">
              <w:rPr>
                <w:rFonts w:ascii="Calibri" w:eastAsia="Calibri" w:hAnsi="Calibri" w:cs="Calibri"/>
                <w:b/>
                <w:bCs/>
                <w:sz w:val="22"/>
                <w:szCs w:val="22"/>
              </w:rPr>
              <w:t xml:space="preserve">Nick Pearce, Saul </w:t>
            </w:r>
            <w:proofErr w:type="gramStart"/>
            <w:r w:rsidRPr="00AD2B0C">
              <w:rPr>
                <w:rFonts w:ascii="Calibri" w:eastAsia="Calibri" w:hAnsi="Calibri" w:cs="Calibri"/>
                <w:b/>
                <w:bCs/>
                <w:sz w:val="22"/>
                <w:szCs w:val="22"/>
              </w:rPr>
              <w:t>Jones</w:t>
            </w:r>
            <w:proofErr w:type="gramEnd"/>
            <w:r w:rsidRPr="00AD2B0C">
              <w:rPr>
                <w:rFonts w:ascii="Calibri" w:eastAsia="Calibri" w:hAnsi="Calibri" w:cs="Calibri"/>
                <w:b/>
                <w:bCs/>
                <w:sz w:val="22"/>
                <w:szCs w:val="22"/>
              </w:rPr>
              <w:t xml:space="preserve"> and Sora </w:t>
            </w:r>
            <w:proofErr w:type="spellStart"/>
            <w:r w:rsidRPr="00AD2B0C">
              <w:rPr>
                <w:rFonts w:ascii="Calibri" w:eastAsia="Calibri" w:hAnsi="Calibri" w:cs="Calibri"/>
                <w:b/>
                <w:bCs/>
                <w:sz w:val="22"/>
                <w:szCs w:val="22"/>
              </w:rPr>
              <w:t>Zushi</w:t>
            </w:r>
            <w:proofErr w:type="spellEnd"/>
          </w:p>
          <w:p w14:paraId="494CFAE6" w14:textId="46DCFFC6" w:rsidR="00AD2B0C" w:rsidRPr="00AD2B0C" w:rsidRDefault="00AD2B0C" w:rsidP="00AD2B0C"/>
        </w:tc>
      </w:tr>
      <w:tr w:rsidR="00AD2B0C" w14:paraId="2DD9CDD1" w14:textId="77777777" w:rsidTr="2A21A488">
        <w:trPr>
          <w:trHeight w:val="300"/>
        </w:trPr>
        <w:tc>
          <w:tcPr>
            <w:tcW w:w="2072" w:type="dxa"/>
            <w:shd w:val="clear" w:color="auto" w:fill="A8D08D" w:themeFill="accent6" w:themeFillTint="99"/>
          </w:tcPr>
          <w:p w14:paraId="2579D65A" w14:textId="6BE6556B" w:rsidR="00AD2B0C" w:rsidRDefault="00AD2B0C" w:rsidP="00AD2B0C">
            <w:r>
              <w:t>15.25 – 16.00</w:t>
            </w:r>
          </w:p>
        </w:tc>
        <w:tc>
          <w:tcPr>
            <w:tcW w:w="2316" w:type="dxa"/>
            <w:shd w:val="clear" w:color="auto" w:fill="A8D08D" w:themeFill="accent6" w:themeFillTint="99"/>
          </w:tcPr>
          <w:p w14:paraId="4E20F25E" w14:textId="7F14C960" w:rsidR="00AD2B0C" w:rsidRDefault="00AD2B0C" w:rsidP="00AD2B0C">
            <w:r>
              <w:t xml:space="preserve">ROUND UP </w:t>
            </w:r>
          </w:p>
        </w:tc>
        <w:tc>
          <w:tcPr>
            <w:tcW w:w="2258" w:type="dxa"/>
            <w:shd w:val="clear" w:color="auto" w:fill="A8D08D" w:themeFill="accent6" w:themeFillTint="99"/>
          </w:tcPr>
          <w:p w14:paraId="60FED86A" w14:textId="77777777" w:rsidR="00AD2B0C" w:rsidRDefault="00AD2B0C" w:rsidP="00AD2B0C"/>
        </w:tc>
        <w:tc>
          <w:tcPr>
            <w:tcW w:w="2370" w:type="dxa"/>
            <w:shd w:val="clear" w:color="auto" w:fill="A8D08D" w:themeFill="accent6" w:themeFillTint="99"/>
          </w:tcPr>
          <w:p w14:paraId="2BC1334D" w14:textId="77777777" w:rsidR="00AD2B0C" w:rsidRDefault="00AD2B0C" w:rsidP="00AD2B0C"/>
        </w:tc>
      </w:tr>
    </w:tbl>
    <w:p w14:paraId="2EAD69AF" w14:textId="53A4EDDD" w:rsidR="4B3EE26E" w:rsidRDefault="4B3EE26E"/>
    <w:p w14:paraId="3867DF1D" w14:textId="5DED8B3A" w:rsidR="00B03FD7" w:rsidRDefault="00B03FD7"/>
    <w:p w14:paraId="25C77C6E" w14:textId="6E6FE1B0" w:rsidR="00E72D92" w:rsidRDefault="003170A4" w:rsidP="00E72D92">
      <w:hyperlink r:id="rId8" w:history="1">
        <w:r w:rsidR="14CCBA61" w:rsidRPr="00E72D92">
          <w:rPr>
            <w:rStyle w:val="Hyperlink"/>
            <w:b/>
            <w:bCs/>
          </w:rPr>
          <w:t>Register here</w:t>
        </w:r>
      </w:hyperlink>
      <w:r w:rsidR="14CCBA61" w:rsidRPr="2A21A488">
        <w:rPr>
          <w:b/>
          <w:bCs/>
        </w:rPr>
        <w:t xml:space="preserve"> by May 28</w:t>
      </w:r>
      <w:r w:rsidR="14CCBA61" w:rsidRPr="00E72D92">
        <w:rPr>
          <w:b/>
          <w:bCs/>
          <w:vertAlign w:val="superscript"/>
        </w:rPr>
        <w:t>th</w:t>
      </w:r>
      <w:r w:rsidR="00E72D92">
        <w:t>.</w:t>
      </w:r>
    </w:p>
    <w:p w14:paraId="62B40FC8" w14:textId="1515A258" w:rsidR="6C1B54AC" w:rsidRDefault="00813D85" w:rsidP="4B3EE26E">
      <w:r>
        <w:t xml:space="preserve"> </w:t>
      </w:r>
    </w:p>
    <w:sectPr w:rsidR="6C1B5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xEzsYxbNUW1+Dr" int2:id="2utfVz33">
      <int2:state int2:value="Rejected" int2:type="AugLoop_Text_Critique"/>
    </int2:textHash>
    <int2:textHash int2:hashCode="dnHTjD5jv09EXb" int2:id="5oNmdAjR">
      <int2:state int2:value="Rejected" int2:type="AugLoop_Text_Critique"/>
    </int2:textHash>
    <int2:textHash int2:hashCode="9bq0drBomMWtmG" int2:id="MhJvnn0C">
      <int2:state int2:value="Rejected" int2:type="AugLoop_Text_Critique"/>
    </int2:textHash>
    <int2:bookmark int2:bookmarkName="_Int_AGj9UrKG" int2:invalidationBookmarkName="" int2:hashCode="xbUiznEcnkRt6D" int2:id="MpiCZSFc">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C0"/>
    <w:rsid w:val="000F4256"/>
    <w:rsid w:val="00112C59"/>
    <w:rsid w:val="00162965"/>
    <w:rsid w:val="00186742"/>
    <w:rsid w:val="00194197"/>
    <w:rsid w:val="00310629"/>
    <w:rsid w:val="003170A4"/>
    <w:rsid w:val="00327BA5"/>
    <w:rsid w:val="00441778"/>
    <w:rsid w:val="004521E1"/>
    <w:rsid w:val="0049129A"/>
    <w:rsid w:val="004955DA"/>
    <w:rsid w:val="00520768"/>
    <w:rsid w:val="00520863"/>
    <w:rsid w:val="00556761"/>
    <w:rsid w:val="005C30C3"/>
    <w:rsid w:val="00601DBF"/>
    <w:rsid w:val="006526E8"/>
    <w:rsid w:val="007629FE"/>
    <w:rsid w:val="00800262"/>
    <w:rsid w:val="00813D85"/>
    <w:rsid w:val="00852DEE"/>
    <w:rsid w:val="00947BC0"/>
    <w:rsid w:val="00A2117F"/>
    <w:rsid w:val="00A332F5"/>
    <w:rsid w:val="00A83157"/>
    <w:rsid w:val="00AA525A"/>
    <w:rsid w:val="00AD2B0C"/>
    <w:rsid w:val="00B03FD7"/>
    <w:rsid w:val="00BC5E84"/>
    <w:rsid w:val="00E70E55"/>
    <w:rsid w:val="00E72D92"/>
    <w:rsid w:val="00F34C46"/>
    <w:rsid w:val="0260EB86"/>
    <w:rsid w:val="02927378"/>
    <w:rsid w:val="03619DCC"/>
    <w:rsid w:val="03722E3F"/>
    <w:rsid w:val="03895FA4"/>
    <w:rsid w:val="0390B28D"/>
    <w:rsid w:val="03EDF422"/>
    <w:rsid w:val="047084D8"/>
    <w:rsid w:val="0520F554"/>
    <w:rsid w:val="07593DBD"/>
    <w:rsid w:val="078FE57B"/>
    <w:rsid w:val="07A5B3D9"/>
    <w:rsid w:val="0874D7BA"/>
    <w:rsid w:val="0998F8D1"/>
    <w:rsid w:val="0ABD541A"/>
    <w:rsid w:val="0B0C37D6"/>
    <w:rsid w:val="0BF2EB2C"/>
    <w:rsid w:val="0C88B2A7"/>
    <w:rsid w:val="0C9E0322"/>
    <w:rsid w:val="0CC9BC41"/>
    <w:rsid w:val="0DADDC86"/>
    <w:rsid w:val="0DF83693"/>
    <w:rsid w:val="0E2BB542"/>
    <w:rsid w:val="0E889D2D"/>
    <w:rsid w:val="0F1430B0"/>
    <w:rsid w:val="0F20BC1B"/>
    <w:rsid w:val="10E9B154"/>
    <w:rsid w:val="113C9381"/>
    <w:rsid w:val="11422D36"/>
    <w:rsid w:val="1162FDCD"/>
    <w:rsid w:val="12B5FFB8"/>
    <w:rsid w:val="132D6D30"/>
    <w:rsid w:val="13385A4D"/>
    <w:rsid w:val="14225014"/>
    <w:rsid w:val="14CCBA61"/>
    <w:rsid w:val="14D42AAE"/>
    <w:rsid w:val="14F56D14"/>
    <w:rsid w:val="15028D38"/>
    <w:rsid w:val="15668641"/>
    <w:rsid w:val="157A6B95"/>
    <w:rsid w:val="18554AAC"/>
    <w:rsid w:val="19C69AAD"/>
    <w:rsid w:val="19F1ACEC"/>
    <w:rsid w:val="1B1002CC"/>
    <w:rsid w:val="1D29B612"/>
    <w:rsid w:val="1EA0E300"/>
    <w:rsid w:val="1F65BC9E"/>
    <w:rsid w:val="1FD9FEA8"/>
    <w:rsid w:val="200D2348"/>
    <w:rsid w:val="20584350"/>
    <w:rsid w:val="20605C91"/>
    <w:rsid w:val="21AF2E24"/>
    <w:rsid w:val="21FC2CF2"/>
    <w:rsid w:val="2344C40A"/>
    <w:rsid w:val="234AFE85"/>
    <w:rsid w:val="238E33A4"/>
    <w:rsid w:val="24013D19"/>
    <w:rsid w:val="241E95B3"/>
    <w:rsid w:val="244CB958"/>
    <w:rsid w:val="246EBEC2"/>
    <w:rsid w:val="25879435"/>
    <w:rsid w:val="25E854B4"/>
    <w:rsid w:val="26051E7D"/>
    <w:rsid w:val="267C64CC"/>
    <w:rsid w:val="26B47B49"/>
    <w:rsid w:val="2789501C"/>
    <w:rsid w:val="278CD9DB"/>
    <w:rsid w:val="2818352D"/>
    <w:rsid w:val="28524619"/>
    <w:rsid w:val="299873BB"/>
    <w:rsid w:val="29A0E3FE"/>
    <w:rsid w:val="29CFB280"/>
    <w:rsid w:val="2A21A488"/>
    <w:rsid w:val="2A36FA94"/>
    <w:rsid w:val="2A8E9231"/>
    <w:rsid w:val="2ADD2BA1"/>
    <w:rsid w:val="2AFB251F"/>
    <w:rsid w:val="2B14419B"/>
    <w:rsid w:val="2B2D842B"/>
    <w:rsid w:val="2C00191B"/>
    <w:rsid w:val="2C28E655"/>
    <w:rsid w:val="2C4941DA"/>
    <w:rsid w:val="2C4E2102"/>
    <w:rsid w:val="2DEE8025"/>
    <w:rsid w:val="2EC03145"/>
    <w:rsid w:val="2F13B164"/>
    <w:rsid w:val="2FD9471C"/>
    <w:rsid w:val="2FF5B739"/>
    <w:rsid w:val="30562DDA"/>
    <w:rsid w:val="307EA1E0"/>
    <w:rsid w:val="307F9FF6"/>
    <w:rsid w:val="31184FCB"/>
    <w:rsid w:val="330B0BFE"/>
    <w:rsid w:val="33147B43"/>
    <w:rsid w:val="3346B890"/>
    <w:rsid w:val="34E333EA"/>
    <w:rsid w:val="357A47C8"/>
    <w:rsid w:val="35AC7155"/>
    <w:rsid w:val="367F044B"/>
    <w:rsid w:val="3683FD8E"/>
    <w:rsid w:val="369A761C"/>
    <w:rsid w:val="36A97126"/>
    <w:rsid w:val="36A98CFE"/>
    <w:rsid w:val="370FF30E"/>
    <w:rsid w:val="37735DA7"/>
    <w:rsid w:val="381AD4AC"/>
    <w:rsid w:val="39221BEA"/>
    <w:rsid w:val="3A9F3A53"/>
    <w:rsid w:val="3ADC28F3"/>
    <w:rsid w:val="3AFBBFFD"/>
    <w:rsid w:val="3C9C2CBE"/>
    <w:rsid w:val="3CAB4A3C"/>
    <w:rsid w:val="3D9E94AA"/>
    <w:rsid w:val="3E81B8E2"/>
    <w:rsid w:val="3F218AC3"/>
    <w:rsid w:val="3FE1DF6A"/>
    <w:rsid w:val="409BB230"/>
    <w:rsid w:val="42A8F881"/>
    <w:rsid w:val="43335780"/>
    <w:rsid w:val="4388F02F"/>
    <w:rsid w:val="43B9A7BB"/>
    <w:rsid w:val="43C9E3A1"/>
    <w:rsid w:val="43DA8F69"/>
    <w:rsid w:val="44C243C0"/>
    <w:rsid w:val="45797A13"/>
    <w:rsid w:val="45896B00"/>
    <w:rsid w:val="46928B0D"/>
    <w:rsid w:val="47714164"/>
    <w:rsid w:val="492704DD"/>
    <w:rsid w:val="49B437DE"/>
    <w:rsid w:val="49CB4B90"/>
    <w:rsid w:val="49D6FFD1"/>
    <w:rsid w:val="4B1B0F73"/>
    <w:rsid w:val="4B2A1231"/>
    <w:rsid w:val="4B3EE26E"/>
    <w:rsid w:val="4B72D032"/>
    <w:rsid w:val="4BC1AD9F"/>
    <w:rsid w:val="4BFB4499"/>
    <w:rsid w:val="4C36B26A"/>
    <w:rsid w:val="4CB2DB19"/>
    <w:rsid w:val="4CB7AAD2"/>
    <w:rsid w:val="4D0EA093"/>
    <w:rsid w:val="4D1518EF"/>
    <w:rsid w:val="4D2C2FC5"/>
    <w:rsid w:val="4DB032CF"/>
    <w:rsid w:val="4DD09EE6"/>
    <w:rsid w:val="4E548D21"/>
    <w:rsid w:val="4E7AAC6B"/>
    <w:rsid w:val="4F5F9C1A"/>
    <w:rsid w:val="4FC13ECB"/>
    <w:rsid w:val="4FD0574D"/>
    <w:rsid w:val="502ACF84"/>
    <w:rsid w:val="503FEE80"/>
    <w:rsid w:val="5044BFDD"/>
    <w:rsid w:val="50E97F22"/>
    <w:rsid w:val="51BB121E"/>
    <w:rsid w:val="51D4164C"/>
    <w:rsid w:val="54387961"/>
    <w:rsid w:val="54C57E87"/>
    <w:rsid w:val="559360A3"/>
    <w:rsid w:val="56BB4B6F"/>
    <w:rsid w:val="57BD7827"/>
    <w:rsid w:val="59AA0713"/>
    <w:rsid w:val="5AE2A933"/>
    <w:rsid w:val="5BB2608E"/>
    <w:rsid w:val="5D8EE93D"/>
    <w:rsid w:val="5DC6CC0C"/>
    <w:rsid w:val="5DD52CC8"/>
    <w:rsid w:val="5F7BAE55"/>
    <w:rsid w:val="5F98E5E0"/>
    <w:rsid w:val="606211BF"/>
    <w:rsid w:val="6134B641"/>
    <w:rsid w:val="6146229A"/>
    <w:rsid w:val="61E3AB9E"/>
    <w:rsid w:val="623F233F"/>
    <w:rsid w:val="63AF3733"/>
    <w:rsid w:val="64673522"/>
    <w:rsid w:val="646D6D67"/>
    <w:rsid w:val="66671C0F"/>
    <w:rsid w:val="67A19CE1"/>
    <w:rsid w:val="67B73B53"/>
    <w:rsid w:val="67FAAC97"/>
    <w:rsid w:val="6882A856"/>
    <w:rsid w:val="6928E93D"/>
    <w:rsid w:val="69A7130C"/>
    <w:rsid w:val="69E9EC22"/>
    <w:rsid w:val="6AB1BEAD"/>
    <w:rsid w:val="6AC4B99E"/>
    <w:rsid w:val="6B06CE92"/>
    <w:rsid w:val="6B17F2E7"/>
    <w:rsid w:val="6C03C854"/>
    <w:rsid w:val="6C1B54AC"/>
    <w:rsid w:val="6C6089FF"/>
    <w:rsid w:val="6D9F98B5"/>
    <w:rsid w:val="6E7E2C4D"/>
    <w:rsid w:val="6E809798"/>
    <w:rsid w:val="6F0C758A"/>
    <w:rsid w:val="6F473BF4"/>
    <w:rsid w:val="6FBD34FC"/>
    <w:rsid w:val="700B6A3F"/>
    <w:rsid w:val="7023F3FB"/>
    <w:rsid w:val="70D73977"/>
    <w:rsid w:val="7234A9A5"/>
    <w:rsid w:val="73DF31AD"/>
    <w:rsid w:val="7405599F"/>
    <w:rsid w:val="75137DEC"/>
    <w:rsid w:val="75730BEE"/>
    <w:rsid w:val="7585D7AE"/>
    <w:rsid w:val="763C696C"/>
    <w:rsid w:val="7688A918"/>
    <w:rsid w:val="77BE802D"/>
    <w:rsid w:val="78B027F6"/>
    <w:rsid w:val="78C67718"/>
    <w:rsid w:val="7A4BF857"/>
    <w:rsid w:val="7AE2CAEE"/>
    <w:rsid w:val="7B77906B"/>
    <w:rsid w:val="7C21D9A4"/>
    <w:rsid w:val="7D7BD38C"/>
    <w:rsid w:val="7F5AAC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6819"/>
  <w15:chartTrackingRefBased/>
  <w15:docId w15:val="{84C706CD-7E5F-9340-B366-6516B397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7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72D92"/>
    <w:rPr>
      <w:color w:val="605E5C"/>
      <w:shd w:val="clear" w:color="auto" w:fill="E1DFDD"/>
    </w:rPr>
  </w:style>
  <w:style w:type="character" w:styleId="CommentReference">
    <w:name w:val="annotation reference"/>
    <w:basedOn w:val="DefaultParagraphFont"/>
    <w:uiPriority w:val="99"/>
    <w:semiHidden/>
    <w:unhideWhenUsed/>
    <w:rsid w:val="00162965"/>
    <w:rPr>
      <w:sz w:val="16"/>
      <w:szCs w:val="16"/>
    </w:rPr>
  </w:style>
  <w:style w:type="paragraph" w:styleId="CommentText">
    <w:name w:val="annotation text"/>
    <w:basedOn w:val="Normal"/>
    <w:link w:val="CommentTextChar"/>
    <w:uiPriority w:val="99"/>
    <w:unhideWhenUsed/>
    <w:rsid w:val="00162965"/>
    <w:rPr>
      <w:sz w:val="20"/>
      <w:szCs w:val="20"/>
    </w:rPr>
  </w:style>
  <w:style w:type="character" w:customStyle="1" w:styleId="CommentTextChar">
    <w:name w:val="Comment Text Char"/>
    <w:basedOn w:val="DefaultParagraphFont"/>
    <w:link w:val="CommentText"/>
    <w:uiPriority w:val="99"/>
    <w:rsid w:val="00162965"/>
    <w:rPr>
      <w:sz w:val="20"/>
      <w:szCs w:val="20"/>
    </w:rPr>
  </w:style>
  <w:style w:type="paragraph" w:styleId="CommentSubject">
    <w:name w:val="annotation subject"/>
    <w:basedOn w:val="CommentText"/>
    <w:next w:val="CommentText"/>
    <w:link w:val="CommentSubjectChar"/>
    <w:uiPriority w:val="99"/>
    <w:semiHidden/>
    <w:unhideWhenUsed/>
    <w:rsid w:val="00162965"/>
    <w:rPr>
      <w:b/>
      <w:bCs/>
    </w:rPr>
  </w:style>
  <w:style w:type="character" w:customStyle="1" w:styleId="CommentSubjectChar">
    <w:name w:val="Comment Subject Char"/>
    <w:basedOn w:val="CommentTextChar"/>
    <w:link w:val="CommentSubject"/>
    <w:uiPriority w:val="99"/>
    <w:semiHidden/>
    <w:rsid w:val="00162965"/>
    <w:rPr>
      <w:b/>
      <w:bCs/>
      <w:sz w:val="20"/>
      <w:szCs w:val="20"/>
    </w:rPr>
  </w:style>
  <w:style w:type="character" w:styleId="FollowedHyperlink">
    <w:name w:val="FollowedHyperlink"/>
    <w:basedOn w:val="DefaultParagraphFont"/>
    <w:uiPriority w:val="99"/>
    <w:semiHidden/>
    <w:unhideWhenUsed/>
    <w:rsid w:val="00A831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bris.ac.uk/conferences-and-events/faculty-of-arts/centre-of-academic-language-and-development/inform-conference-2023-registration" TargetMode="External"/><Relationship Id="rId3" Type="http://schemas.openxmlformats.org/officeDocument/2006/relationships/customXml" Target="../customXml/item3.xml"/><Relationship Id="rId7" Type="http://schemas.openxmlformats.org/officeDocument/2006/relationships/hyperlink" Target="https://www.bristol.ac.uk/university/governance/executive/pro-vice-chancellor-for-education-and-stud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20/10/relationships/intelligence" Target="intelligence2.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0b9f85-c8c9-4663-b0e9-09e62dda802a">
      <Terms xmlns="http://schemas.microsoft.com/office/infopath/2007/PartnerControls"/>
    </lcf76f155ced4ddcb4097134ff3c332f>
    <TaxCatchAll xmlns="01afb5e4-9085-4798-98f0-25d022eb50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0AD5142BC62847BAC2B0A648DD24CE" ma:contentTypeVersion="8" ma:contentTypeDescription="Create a new document." ma:contentTypeScope="" ma:versionID="bcdd8ca2cf39102a8dbf53458ab5b6fd">
  <xsd:schema xmlns:xsd="http://www.w3.org/2001/XMLSchema" xmlns:xs="http://www.w3.org/2001/XMLSchema" xmlns:p="http://schemas.microsoft.com/office/2006/metadata/properties" xmlns:ns2="a50b9f85-c8c9-4663-b0e9-09e62dda802a" xmlns:ns3="01afb5e4-9085-4798-98f0-25d022eb5002" targetNamespace="http://schemas.microsoft.com/office/2006/metadata/properties" ma:root="true" ma:fieldsID="02f641a57ca05b44b51e47e62418e827" ns2:_="" ns3:_="">
    <xsd:import namespace="a50b9f85-c8c9-4663-b0e9-09e62dda802a"/>
    <xsd:import namespace="01afb5e4-9085-4798-98f0-25d022eb500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b9f85-c8c9-4663-b0e9-09e62dda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fb5e4-9085-4798-98f0-25d022eb500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0196a9-05ae-4776-8799-9c40ef11ce30}" ma:internalName="TaxCatchAll" ma:showField="CatchAllData" ma:web="01afb5e4-9085-4798-98f0-25d022eb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17ECC-E112-4DA3-AA3A-C7CEDE06D008}">
  <ds:schemaRefs>
    <ds:schemaRef ds:uri="http://schemas.microsoft.com/office/2006/metadata/properties"/>
    <ds:schemaRef ds:uri="http://schemas.microsoft.com/office/infopath/2007/PartnerControls"/>
    <ds:schemaRef ds:uri="a50b9f85-c8c9-4663-b0e9-09e62dda802a"/>
    <ds:schemaRef ds:uri="01afb5e4-9085-4798-98f0-25d022eb5002"/>
  </ds:schemaRefs>
</ds:datastoreItem>
</file>

<file path=customXml/itemProps2.xml><?xml version="1.0" encoding="utf-8"?>
<ds:datastoreItem xmlns:ds="http://schemas.openxmlformats.org/officeDocument/2006/customXml" ds:itemID="{B9222DE0-2881-4ACD-89CB-F1D661789D5C}">
  <ds:schemaRefs>
    <ds:schemaRef ds:uri="http://schemas.microsoft.com/sharepoint/v3/contenttype/forms"/>
  </ds:schemaRefs>
</ds:datastoreItem>
</file>

<file path=customXml/itemProps3.xml><?xml version="1.0" encoding="utf-8"?>
<ds:datastoreItem xmlns:ds="http://schemas.openxmlformats.org/officeDocument/2006/customXml" ds:itemID="{D93D8077-6D48-4EA9-95B4-F82AD765B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b9f85-c8c9-4663-b0e9-09e62dda802a"/>
    <ds:schemaRef ds:uri="01afb5e4-9085-4798-98f0-25d022eb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4</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Gillway</dc:creator>
  <cp:keywords/>
  <dc:description/>
  <cp:lastModifiedBy>Fiona Dempsey</cp:lastModifiedBy>
  <cp:revision>2</cp:revision>
  <dcterms:created xsi:type="dcterms:W3CDTF">2023-06-02T13:10:00Z</dcterms:created>
  <dcterms:modified xsi:type="dcterms:W3CDTF">2023-06-02T13:10:00Z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0x010100940AD5142BC62847BAC2B0A648DD24CE</vt:lpwstr>
  </property>
  <property fmtid="{D5CDD505-2E9C-101B-9397-08002B2CF9AE}" pid="3" name="MediaServiceImageTags">
    <vt:lpwstr/>
  </property>
</Properties>
</file>