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5231" w14:textId="77777777" w:rsidR="004D729E" w:rsidRPr="004D729E" w:rsidRDefault="004D729E" w:rsidP="00DC1FAD">
      <w:pPr>
        <w:spacing w:after="0" w:line="240" w:lineRule="auto"/>
        <w:jc w:val="both"/>
        <w:rPr>
          <w:rFonts w:ascii="Effra" w:eastAsia="Times New Roman" w:hAnsi="Effra" w:cs="Times New Roman"/>
          <w:b/>
          <w:caps/>
          <w:color w:val="FF0000"/>
          <w:lang w:val="en-US"/>
        </w:rPr>
      </w:pPr>
    </w:p>
    <w:p w14:paraId="1A50A929" w14:textId="3E092D42" w:rsidR="00404D95" w:rsidRPr="008A7BB1" w:rsidRDefault="00C61A49" w:rsidP="00DC1FAD">
      <w:pPr>
        <w:spacing w:after="0" w:line="240" w:lineRule="auto"/>
        <w:jc w:val="both"/>
        <w:rPr>
          <w:rFonts w:ascii="Effra" w:eastAsia="Times New Roman" w:hAnsi="Effra" w:cs="Times New Roman"/>
          <w:b/>
          <w:caps/>
          <w:color w:val="FF0000"/>
          <w:sz w:val="44"/>
          <w:szCs w:val="44"/>
          <w:lang w:val="en-US"/>
        </w:rPr>
      </w:pPr>
      <w:r w:rsidRPr="008A7BB1">
        <w:rPr>
          <w:rFonts w:ascii="Effra" w:eastAsia="Times New Roman" w:hAnsi="Effra" w:cs="Times New Roman"/>
          <w:b/>
          <w:caps/>
          <w:color w:val="FF0000"/>
          <w:sz w:val="44"/>
          <w:szCs w:val="44"/>
          <w:lang w:val="en-US"/>
        </w:rPr>
        <w:t>Campus Services Quality Management System (QMS) scope</w:t>
      </w:r>
    </w:p>
    <w:p w14:paraId="5139D100" w14:textId="6693B466" w:rsidR="00404D95" w:rsidRPr="004B05BE" w:rsidRDefault="00404D95" w:rsidP="00DC1FAD">
      <w:pPr>
        <w:spacing w:after="0" w:line="240" w:lineRule="auto"/>
        <w:jc w:val="both"/>
        <w:rPr>
          <w:sz w:val="24"/>
          <w:szCs w:val="24"/>
        </w:rPr>
      </w:pPr>
    </w:p>
    <w:p w14:paraId="6F7A563A" w14:textId="6ECFC168" w:rsidR="00404D95" w:rsidRPr="009412D7" w:rsidRDefault="00404D95" w:rsidP="004B05BE">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 xml:space="preserve">Campus Services, part of Estates, employs 215 people across the University's three campuses to provide essential support services that help maintain a world-class environment for teaching and learning. </w:t>
      </w:r>
      <w:r w:rsidR="00C61A49" w:rsidRPr="009412D7">
        <w:rPr>
          <w:rFonts w:asciiTheme="minorHAnsi" w:hAnsiTheme="minorHAnsi" w:cstheme="minorHAnsi"/>
          <w:sz w:val="22"/>
          <w:szCs w:val="22"/>
        </w:rPr>
        <w:t xml:space="preserve">It is certified by the British Standards Institute (BSI) </w:t>
      </w:r>
      <w:r w:rsidR="00010239" w:rsidRPr="009412D7">
        <w:rPr>
          <w:rFonts w:asciiTheme="minorHAnsi" w:hAnsiTheme="minorHAnsi" w:cstheme="minorHAnsi"/>
          <w:sz w:val="22"/>
          <w:szCs w:val="22"/>
        </w:rPr>
        <w:t>for having a QMS that meets the ISO 9001:2015 standard for quality.</w:t>
      </w:r>
    </w:p>
    <w:p w14:paraId="030486A9" w14:textId="76B80944" w:rsidR="00BA519F" w:rsidRPr="009412D7" w:rsidRDefault="00BA519F" w:rsidP="00DC1FAD">
      <w:pPr>
        <w:spacing w:after="0" w:line="240" w:lineRule="auto"/>
        <w:jc w:val="both"/>
        <w:rPr>
          <w:rFonts w:cstheme="minorHAnsi"/>
        </w:rPr>
      </w:pPr>
    </w:p>
    <w:p w14:paraId="0D48626D" w14:textId="0D7BE930" w:rsidR="000F669F" w:rsidRPr="009412D7" w:rsidRDefault="000F669F" w:rsidP="00DC1FAD">
      <w:pPr>
        <w:spacing w:after="0" w:line="240" w:lineRule="auto"/>
        <w:jc w:val="both"/>
        <w:rPr>
          <w:rFonts w:cstheme="minorHAnsi"/>
        </w:rPr>
      </w:pPr>
      <w:r w:rsidRPr="009412D7">
        <w:rPr>
          <w:rFonts w:cstheme="minorHAnsi"/>
        </w:rPr>
        <w:t>This scoping document exists in tandem with the Campus Services Quality Policy</w:t>
      </w:r>
      <w:r w:rsidR="005A6B86" w:rsidRPr="009412D7">
        <w:rPr>
          <w:rFonts w:cstheme="minorHAnsi"/>
        </w:rPr>
        <w:t xml:space="preserve"> and provides ongoing assurance that </w:t>
      </w:r>
      <w:r w:rsidR="00483738" w:rsidRPr="009412D7">
        <w:rPr>
          <w:rFonts w:cstheme="minorHAnsi"/>
        </w:rPr>
        <w:t xml:space="preserve">the QMS is meeting customer requirements. Please refer to our register of interested parties for more information on their needs and expectations. </w:t>
      </w:r>
    </w:p>
    <w:p w14:paraId="58173CB5" w14:textId="77777777" w:rsidR="004B05BE" w:rsidRPr="009412D7" w:rsidRDefault="004B05BE" w:rsidP="00DC1FAD">
      <w:pPr>
        <w:spacing w:after="0" w:line="240" w:lineRule="auto"/>
        <w:jc w:val="both"/>
        <w:rPr>
          <w:rFonts w:cstheme="minorHAnsi"/>
        </w:rPr>
      </w:pPr>
    </w:p>
    <w:p w14:paraId="24AC07E9" w14:textId="2B178B78" w:rsidR="00BA519F" w:rsidRPr="009412D7" w:rsidRDefault="00EC7A44" w:rsidP="00C120BC">
      <w:pPr>
        <w:pStyle w:val="NormalWeb"/>
        <w:spacing w:before="0" w:beforeAutospacing="0" w:after="150" w:afterAutospacing="0" w:line="314" w:lineRule="atLeast"/>
        <w:jc w:val="both"/>
        <w:rPr>
          <w:rFonts w:asciiTheme="minorHAnsi" w:hAnsiTheme="minorHAnsi" w:cstheme="minorHAnsi"/>
          <w:b/>
          <w:bCs/>
          <w:color w:val="FF0000"/>
          <w:sz w:val="22"/>
          <w:szCs w:val="22"/>
        </w:rPr>
      </w:pPr>
      <w:r w:rsidRPr="009412D7">
        <w:rPr>
          <w:rFonts w:asciiTheme="minorHAnsi" w:hAnsiTheme="minorHAnsi" w:cstheme="minorHAnsi"/>
          <w:b/>
          <w:bCs/>
          <w:color w:val="FF0000"/>
          <w:sz w:val="22"/>
          <w:szCs w:val="22"/>
        </w:rPr>
        <w:t>Scope coverage</w:t>
      </w:r>
    </w:p>
    <w:p w14:paraId="0DA27806" w14:textId="33F1DBF5" w:rsidR="006C2DAE" w:rsidRPr="009412D7" w:rsidRDefault="007D4778" w:rsidP="004B05BE">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The scope of the Campus Services QMS covers all activities</w:t>
      </w:r>
      <w:r w:rsidR="00350AA4" w:rsidRPr="009412D7">
        <w:rPr>
          <w:rFonts w:asciiTheme="minorHAnsi" w:hAnsiTheme="minorHAnsi" w:cstheme="minorHAnsi"/>
          <w:sz w:val="22"/>
          <w:szCs w:val="22"/>
        </w:rPr>
        <w:t xml:space="preserve"> (including any applicable products and services needed for the fulfilment of </w:t>
      </w:r>
      <w:r w:rsidR="00755893" w:rsidRPr="009412D7">
        <w:rPr>
          <w:rFonts w:asciiTheme="minorHAnsi" w:hAnsiTheme="minorHAnsi" w:cstheme="minorHAnsi"/>
          <w:sz w:val="22"/>
          <w:szCs w:val="22"/>
        </w:rPr>
        <w:t>said</w:t>
      </w:r>
      <w:r w:rsidR="00350AA4" w:rsidRPr="009412D7">
        <w:rPr>
          <w:rFonts w:asciiTheme="minorHAnsi" w:hAnsiTheme="minorHAnsi" w:cstheme="minorHAnsi"/>
          <w:sz w:val="22"/>
          <w:szCs w:val="22"/>
        </w:rPr>
        <w:t xml:space="preserve"> activities)</w:t>
      </w:r>
      <w:r w:rsidRPr="009412D7">
        <w:rPr>
          <w:rFonts w:asciiTheme="minorHAnsi" w:hAnsiTheme="minorHAnsi" w:cstheme="minorHAnsi"/>
          <w:sz w:val="22"/>
          <w:szCs w:val="22"/>
        </w:rPr>
        <w:t xml:space="preserve"> carried out by Campus Services and its personnel at </w:t>
      </w:r>
      <w:r w:rsidR="005E6B72" w:rsidRPr="009412D7">
        <w:rPr>
          <w:rFonts w:asciiTheme="minorHAnsi" w:hAnsiTheme="minorHAnsi" w:cstheme="minorHAnsi"/>
          <w:sz w:val="22"/>
          <w:szCs w:val="22"/>
        </w:rPr>
        <w:t xml:space="preserve">the three UK University of Reading campuses: </w:t>
      </w:r>
    </w:p>
    <w:p w14:paraId="21F4E4F8" w14:textId="072BA0C4" w:rsidR="005E6B72" w:rsidRPr="009412D7" w:rsidRDefault="005E6B72" w:rsidP="005E6B72">
      <w:pPr>
        <w:pStyle w:val="NormalWeb"/>
        <w:numPr>
          <w:ilvl w:val="0"/>
          <w:numId w:val="1"/>
        </w:numPr>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Whiteknights Campus, located in central Reading</w:t>
      </w:r>
      <w:r w:rsidR="00764A56" w:rsidRPr="009412D7">
        <w:rPr>
          <w:rFonts w:asciiTheme="minorHAnsi" w:hAnsiTheme="minorHAnsi" w:cstheme="minorHAnsi"/>
          <w:sz w:val="22"/>
          <w:szCs w:val="22"/>
        </w:rPr>
        <w:t xml:space="preserve"> on the boundary of Reading and Wokingham Borough Councils</w:t>
      </w:r>
    </w:p>
    <w:p w14:paraId="2FC33168" w14:textId="1D999D05" w:rsidR="00764A56" w:rsidRPr="009412D7" w:rsidRDefault="00764A56" w:rsidP="005E6B72">
      <w:pPr>
        <w:pStyle w:val="NormalWeb"/>
        <w:numPr>
          <w:ilvl w:val="0"/>
          <w:numId w:val="1"/>
        </w:numPr>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London Road, also located in central Reading, within the boundary of Reading Borough Council</w:t>
      </w:r>
    </w:p>
    <w:p w14:paraId="29297CF8" w14:textId="23D0C344" w:rsidR="00764A56" w:rsidRPr="009412D7" w:rsidRDefault="00764A56" w:rsidP="005E6B72">
      <w:pPr>
        <w:pStyle w:val="NormalWeb"/>
        <w:numPr>
          <w:ilvl w:val="0"/>
          <w:numId w:val="1"/>
        </w:numPr>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Henley Business School, located at the Greenlands campus just outside of Henley</w:t>
      </w:r>
      <w:r w:rsidR="008E3B9F" w:rsidRPr="009412D7">
        <w:rPr>
          <w:rFonts w:asciiTheme="minorHAnsi" w:hAnsiTheme="minorHAnsi" w:cstheme="minorHAnsi"/>
          <w:sz w:val="22"/>
          <w:szCs w:val="22"/>
        </w:rPr>
        <w:t>, within the boundary of South Oxfordshire District Council.</w:t>
      </w:r>
    </w:p>
    <w:p w14:paraId="1ADFBAE2" w14:textId="141125E7" w:rsidR="001E1C20" w:rsidRPr="009412D7" w:rsidRDefault="001E1C20" w:rsidP="001E1C20">
      <w:pPr>
        <w:pStyle w:val="NormalWeb"/>
        <w:spacing w:before="0" w:beforeAutospacing="0" w:after="0" w:afterAutospacing="0"/>
        <w:jc w:val="both"/>
        <w:rPr>
          <w:rFonts w:asciiTheme="minorHAnsi" w:hAnsiTheme="minorHAnsi" w:cstheme="minorHAnsi"/>
          <w:sz w:val="22"/>
          <w:szCs w:val="22"/>
        </w:rPr>
      </w:pPr>
    </w:p>
    <w:p w14:paraId="5299CF87" w14:textId="77777777" w:rsidR="007F17A8" w:rsidRPr="009412D7" w:rsidRDefault="001E1C20" w:rsidP="001E1C20">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Ancillary operations are also carried out at</w:t>
      </w:r>
      <w:r w:rsidR="007F17A8" w:rsidRPr="009412D7">
        <w:rPr>
          <w:rFonts w:asciiTheme="minorHAnsi" w:hAnsiTheme="minorHAnsi" w:cstheme="minorHAnsi"/>
          <w:sz w:val="22"/>
          <w:szCs w:val="22"/>
        </w:rPr>
        <w:t>:</w:t>
      </w:r>
    </w:p>
    <w:p w14:paraId="506F2094" w14:textId="77777777" w:rsidR="007F17A8" w:rsidRPr="009412D7" w:rsidRDefault="007F17A8" w:rsidP="007F17A8">
      <w:pPr>
        <w:pStyle w:val="NormalWeb"/>
        <w:numPr>
          <w:ilvl w:val="0"/>
          <w:numId w:val="1"/>
        </w:numPr>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T</w:t>
      </w:r>
      <w:r w:rsidR="001E1C20" w:rsidRPr="009412D7">
        <w:rPr>
          <w:rFonts w:asciiTheme="minorHAnsi" w:hAnsiTheme="minorHAnsi" w:cstheme="minorHAnsi"/>
          <w:sz w:val="22"/>
          <w:szCs w:val="22"/>
        </w:rPr>
        <w:t>he University’s Thames Valley Science Park</w:t>
      </w:r>
      <w:r w:rsidR="001F24F3" w:rsidRPr="009412D7">
        <w:rPr>
          <w:rFonts w:asciiTheme="minorHAnsi" w:hAnsiTheme="minorHAnsi" w:cstheme="minorHAnsi"/>
          <w:sz w:val="22"/>
          <w:szCs w:val="22"/>
        </w:rPr>
        <w:t>, located close to Reading, within the boundary of Wokingham Borough Council</w:t>
      </w:r>
    </w:p>
    <w:p w14:paraId="70E7D26D" w14:textId="06BB8949" w:rsidR="001E1C20" w:rsidRPr="009412D7" w:rsidRDefault="00B4422D" w:rsidP="008A7BB1">
      <w:pPr>
        <w:pStyle w:val="NormalWeb"/>
        <w:numPr>
          <w:ilvl w:val="0"/>
          <w:numId w:val="1"/>
        </w:numPr>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 xml:space="preserve">University </w:t>
      </w:r>
      <w:r w:rsidR="00BC3705" w:rsidRPr="009412D7">
        <w:rPr>
          <w:rFonts w:asciiTheme="minorHAnsi" w:hAnsiTheme="minorHAnsi" w:cstheme="minorHAnsi"/>
          <w:sz w:val="22"/>
          <w:szCs w:val="22"/>
        </w:rPr>
        <w:t>owned land and premises</w:t>
      </w:r>
      <w:r w:rsidR="00886BD0" w:rsidRPr="009412D7">
        <w:rPr>
          <w:rFonts w:asciiTheme="minorHAnsi" w:hAnsiTheme="minorHAnsi" w:cstheme="minorHAnsi"/>
          <w:sz w:val="22"/>
          <w:szCs w:val="22"/>
        </w:rPr>
        <w:t xml:space="preserve"> </w:t>
      </w:r>
      <w:r w:rsidR="007F17A8" w:rsidRPr="009412D7">
        <w:rPr>
          <w:rFonts w:asciiTheme="minorHAnsi" w:hAnsiTheme="minorHAnsi" w:cstheme="minorHAnsi"/>
          <w:sz w:val="22"/>
          <w:szCs w:val="22"/>
        </w:rPr>
        <w:t>in and around Reading</w:t>
      </w:r>
    </w:p>
    <w:p w14:paraId="22AFCECF" w14:textId="77777777" w:rsidR="006C2DAE" w:rsidRPr="009412D7" w:rsidRDefault="006C2DAE" w:rsidP="004B05BE">
      <w:pPr>
        <w:pStyle w:val="NormalWeb"/>
        <w:spacing w:before="0" w:beforeAutospacing="0" w:after="0" w:afterAutospacing="0"/>
        <w:jc w:val="both"/>
        <w:rPr>
          <w:rFonts w:asciiTheme="minorHAnsi" w:hAnsiTheme="minorHAnsi" w:cstheme="minorHAnsi"/>
          <w:sz w:val="22"/>
          <w:szCs w:val="22"/>
        </w:rPr>
      </w:pPr>
    </w:p>
    <w:p w14:paraId="2AE56188" w14:textId="76CA0A8D" w:rsidR="00BB11B4" w:rsidRPr="009412D7" w:rsidRDefault="00BB11B4" w:rsidP="00BB11B4">
      <w:pPr>
        <w:jc w:val="both"/>
        <w:rPr>
          <w:rFonts w:cstheme="minorHAnsi"/>
        </w:rPr>
      </w:pPr>
    </w:p>
    <w:p w14:paraId="50DE0500" w14:textId="21A27846" w:rsidR="00BB11B4" w:rsidRPr="009412D7" w:rsidRDefault="00BB11B4" w:rsidP="00BB11B4">
      <w:pPr>
        <w:jc w:val="both"/>
        <w:rPr>
          <w:rFonts w:cstheme="minorHAnsi"/>
          <w:b/>
          <w:bCs/>
          <w:color w:val="FF0000"/>
        </w:rPr>
      </w:pPr>
      <w:r w:rsidRPr="009412D7">
        <w:rPr>
          <w:rFonts w:cstheme="minorHAnsi"/>
          <w:b/>
          <w:bCs/>
          <w:color w:val="FF0000"/>
        </w:rPr>
        <w:t>Excluded from the scope of the Campus Services QMS is the following:</w:t>
      </w:r>
    </w:p>
    <w:p w14:paraId="47AF0CC9" w14:textId="2F553ECD" w:rsidR="00BB11B4" w:rsidRPr="009412D7" w:rsidRDefault="00597DFA" w:rsidP="00BB11B4">
      <w:pPr>
        <w:jc w:val="both"/>
        <w:rPr>
          <w:rFonts w:cstheme="minorHAnsi"/>
        </w:rPr>
      </w:pPr>
      <w:r w:rsidRPr="009412D7">
        <w:rPr>
          <w:rFonts w:cstheme="minorHAnsi"/>
        </w:rPr>
        <w:t xml:space="preserve">Clause </w:t>
      </w:r>
      <w:r w:rsidR="00BB11B4" w:rsidRPr="009412D7">
        <w:rPr>
          <w:rFonts w:cstheme="minorHAnsi"/>
        </w:rPr>
        <w:t>8.3</w:t>
      </w:r>
      <w:r w:rsidRPr="009412D7">
        <w:rPr>
          <w:rFonts w:cstheme="minorHAnsi"/>
        </w:rPr>
        <w:t xml:space="preserve"> of ISO 9001:2015-</w:t>
      </w:r>
      <w:r w:rsidR="00BB11B4" w:rsidRPr="009412D7">
        <w:rPr>
          <w:rFonts w:cstheme="minorHAnsi"/>
        </w:rPr>
        <w:t xml:space="preserve"> Design and development of products and services</w:t>
      </w:r>
      <w:r w:rsidR="00965F2F" w:rsidRPr="009412D7">
        <w:rPr>
          <w:rFonts w:cstheme="minorHAnsi"/>
        </w:rPr>
        <w:t xml:space="preserve">. </w:t>
      </w:r>
      <w:r w:rsidR="00BB11B4" w:rsidRPr="009412D7">
        <w:rPr>
          <w:rFonts w:cstheme="minorHAnsi"/>
        </w:rPr>
        <w:t xml:space="preserve">Due to the nature of the products and services Campus Services offers, it does not carry out any design and development activities as part of its QMS. </w:t>
      </w:r>
    </w:p>
    <w:p w14:paraId="63548727" w14:textId="53BF3CDC" w:rsidR="00014396" w:rsidRPr="009412D7" w:rsidRDefault="00930C20" w:rsidP="00DC1FAD">
      <w:pPr>
        <w:spacing w:after="0" w:line="240" w:lineRule="auto"/>
        <w:jc w:val="both"/>
        <w:rPr>
          <w:rFonts w:cstheme="minorHAnsi"/>
        </w:rPr>
      </w:pPr>
      <w:r w:rsidRPr="009412D7">
        <w:rPr>
          <w:rFonts w:cstheme="minorHAnsi"/>
        </w:rPr>
        <w:t xml:space="preserve">The Campus Services QMS excludes wholly tenanted buildings such as RSSL, </w:t>
      </w:r>
      <w:proofErr w:type="spellStart"/>
      <w:r w:rsidRPr="009412D7">
        <w:rPr>
          <w:rFonts w:cstheme="minorHAnsi"/>
        </w:rPr>
        <w:t>Erleigh</w:t>
      </w:r>
      <w:proofErr w:type="spellEnd"/>
      <w:r w:rsidRPr="009412D7">
        <w:rPr>
          <w:rFonts w:cstheme="minorHAnsi"/>
        </w:rPr>
        <w:t xml:space="preserve"> House, and Reading Enterprise Centre, all located on the Whiteknights Campus, except where there is a requirement </w:t>
      </w:r>
      <w:r w:rsidR="00412D46" w:rsidRPr="009412D7">
        <w:rPr>
          <w:rFonts w:cstheme="minorHAnsi"/>
        </w:rPr>
        <w:t>from those tenants for Campus Services to provide products and services as defined by special arrangement, such as a contract for services</w:t>
      </w:r>
      <w:r w:rsidR="00AD2C9F" w:rsidRPr="009412D7">
        <w:rPr>
          <w:rFonts w:cstheme="minorHAnsi"/>
        </w:rPr>
        <w:t xml:space="preserve">. The provision of those products and services is covered by the scope of the QMS. </w:t>
      </w:r>
    </w:p>
    <w:p w14:paraId="566C3A77" w14:textId="57696CFB" w:rsidR="00014396" w:rsidRPr="009412D7" w:rsidRDefault="00014396" w:rsidP="00DC1FAD">
      <w:pPr>
        <w:spacing w:after="0" w:line="240" w:lineRule="auto"/>
        <w:jc w:val="both"/>
        <w:rPr>
          <w:rFonts w:cstheme="minorHAnsi"/>
        </w:rPr>
      </w:pPr>
      <w:r w:rsidRPr="009412D7">
        <w:rPr>
          <w:rFonts w:cstheme="minorHAnsi"/>
        </w:rPr>
        <w:t xml:space="preserve">The scope also excludes all </w:t>
      </w:r>
      <w:r w:rsidR="00D82D7A" w:rsidRPr="009412D7">
        <w:rPr>
          <w:rFonts w:cstheme="minorHAnsi"/>
        </w:rPr>
        <w:t>UPP Halls of Residences as these are managed by a third party. Any products and services required by the third party are defined by special arrangement, such as contracts for services. The provision of those products and services is covered by the scope of the QMS.</w:t>
      </w:r>
    </w:p>
    <w:p w14:paraId="0286C921" w14:textId="07DEB8B4" w:rsidR="00882C72" w:rsidRPr="009412D7" w:rsidRDefault="00882C72" w:rsidP="00DC1FAD">
      <w:pPr>
        <w:spacing w:after="0" w:line="240" w:lineRule="auto"/>
        <w:jc w:val="both"/>
        <w:rPr>
          <w:rFonts w:cstheme="minorHAnsi"/>
        </w:rPr>
      </w:pPr>
    </w:p>
    <w:p w14:paraId="06609056" w14:textId="4154DFC4" w:rsidR="00882C72" w:rsidRPr="009412D7" w:rsidRDefault="00882C72" w:rsidP="00DC1FAD">
      <w:pPr>
        <w:spacing w:after="0" w:line="240" w:lineRule="auto"/>
        <w:jc w:val="both"/>
        <w:rPr>
          <w:rFonts w:cstheme="minorHAnsi"/>
        </w:rPr>
      </w:pPr>
      <w:r w:rsidRPr="009412D7">
        <w:rPr>
          <w:rFonts w:cstheme="minorHAnsi"/>
        </w:rPr>
        <w:t xml:space="preserve">The University’s overseas campuses, such as those in South Africa or Malaysia, are not included within the scope of the Campus Services QMS. </w:t>
      </w:r>
    </w:p>
    <w:p w14:paraId="7CDB8D61" w14:textId="77777777" w:rsidR="004B05BE" w:rsidRPr="009412D7" w:rsidRDefault="004B05BE" w:rsidP="00DC1FAD">
      <w:pPr>
        <w:spacing w:after="0" w:line="240" w:lineRule="auto"/>
        <w:jc w:val="both"/>
        <w:rPr>
          <w:rFonts w:cstheme="minorHAnsi"/>
        </w:rPr>
      </w:pPr>
    </w:p>
    <w:p w14:paraId="4E25B0BC" w14:textId="77777777" w:rsidR="006772F8" w:rsidRPr="009412D7" w:rsidRDefault="006772F8" w:rsidP="006772F8">
      <w:pPr>
        <w:pStyle w:val="NormalWeb"/>
        <w:spacing w:before="0" w:beforeAutospacing="0" w:after="150" w:afterAutospacing="0" w:line="314" w:lineRule="atLeast"/>
        <w:jc w:val="both"/>
        <w:rPr>
          <w:rFonts w:asciiTheme="minorHAnsi" w:hAnsiTheme="minorHAnsi" w:cstheme="minorHAnsi"/>
          <w:b/>
          <w:bCs/>
          <w:color w:val="FF0000"/>
          <w:sz w:val="22"/>
          <w:szCs w:val="22"/>
        </w:rPr>
      </w:pPr>
      <w:r w:rsidRPr="009412D7">
        <w:rPr>
          <w:rFonts w:asciiTheme="minorHAnsi" w:hAnsiTheme="minorHAnsi" w:cstheme="minorHAnsi"/>
          <w:b/>
          <w:bCs/>
          <w:color w:val="FF0000"/>
          <w:sz w:val="22"/>
          <w:szCs w:val="22"/>
        </w:rPr>
        <w:lastRenderedPageBreak/>
        <w:t xml:space="preserve">Significant factors affecting the Campus Services QMS </w:t>
      </w:r>
    </w:p>
    <w:p w14:paraId="16F9F05F" w14:textId="01F77091" w:rsidR="006772F8" w:rsidRPr="009412D7" w:rsidRDefault="007426ED" w:rsidP="006772F8">
      <w:pPr>
        <w:jc w:val="both"/>
        <w:rPr>
          <w:rFonts w:cstheme="minorHAnsi"/>
        </w:rPr>
      </w:pPr>
      <w:r w:rsidRPr="009412D7">
        <w:rPr>
          <w:rFonts w:cstheme="minorHAnsi"/>
        </w:rPr>
        <w:t xml:space="preserve">Available funding for services, affected by </w:t>
      </w:r>
      <w:r w:rsidR="00964BC2" w:rsidRPr="009412D7">
        <w:rPr>
          <w:rFonts w:cstheme="minorHAnsi"/>
        </w:rPr>
        <w:t xml:space="preserve">student numbers, </w:t>
      </w:r>
      <w:r w:rsidR="00956298" w:rsidRPr="009412D7">
        <w:rPr>
          <w:rFonts w:cstheme="minorHAnsi"/>
        </w:rPr>
        <w:t>tuition fees and inflation</w:t>
      </w:r>
      <w:r w:rsidR="00A666E0" w:rsidRPr="009412D7">
        <w:rPr>
          <w:rFonts w:cstheme="minorHAnsi"/>
        </w:rPr>
        <w:t>.</w:t>
      </w:r>
    </w:p>
    <w:p w14:paraId="0CA625DF" w14:textId="75389DE1" w:rsidR="00A666E0" w:rsidRPr="009412D7" w:rsidRDefault="00D541CA" w:rsidP="006772F8">
      <w:pPr>
        <w:jc w:val="both"/>
        <w:rPr>
          <w:rFonts w:cstheme="minorHAnsi"/>
        </w:rPr>
      </w:pPr>
      <w:r w:rsidRPr="009412D7">
        <w:rPr>
          <w:rFonts w:cstheme="minorHAnsi"/>
        </w:rPr>
        <w:t>Possible action from</w:t>
      </w:r>
      <w:r w:rsidR="0016736C" w:rsidRPr="009412D7">
        <w:rPr>
          <w:rFonts w:cstheme="minorHAnsi"/>
        </w:rPr>
        <w:t xml:space="preserve"> UCU (the trade union representing staff on grades 6-9).</w:t>
      </w:r>
    </w:p>
    <w:p w14:paraId="3AD9592A" w14:textId="2A569656" w:rsidR="00281DFC" w:rsidRPr="009412D7" w:rsidRDefault="00281DFC" w:rsidP="006772F8">
      <w:pPr>
        <w:jc w:val="both"/>
        <w:rPr>
          <w:rFonts w:cstheme="minorHAnsi"/>
        </w:rPr>
      </w:pPr>
      <w:r w:rsidRPr="009412D7">
        <w:rPr>
          <w:rFonts w:cstheme="minorHAnsi"/>
        </w:rPr>
        <w:t>The Diversity and Inclusion agenda of the University</w:t>
      </w:r>
      <w:r w:rsidR="00DA0822" w:rsidRPr="009412D7">
        <w:rPr>
          <w:rFonts w:cstheme="minorHAnsi"/>
        </w:rPr>
        <w:t xml:space="preserve">. Campus Services has a diverse staff </w:t>
      </w:r>
      <w:r w:rsidR="00247DC0" w:rsidRPr="009412D7">
        <w:rPr>
          <w:rFonts w:cstheme="minorHAnsi"/>
        </w:rPr>
        <w:t xml:space="preserve">membership and the need for inclusivity and engagement is high. </w:t>
      </w:r>
    </w:p>
    <w:p w14:paraId="56D2311D" w14:textId="3DB57C9A" w:rsidR="008E55FA" w:rsidRPr="009412D7" w:rsidRDefault="00504F9F" w:rsidP="006772F8">
      <w:pPr>
        <w:jc w:val="both"/>
        <w:rPr>
          <w:rFonts w:cstheme="minorHAnsi"/>
        </w:rPr>
      </w:pPr>
      <w:r w:rsidRPr="009412D7">
        <w:rPr>
          <w:rFonts w:cstheme="minorHAnsi"/>
        </w:rPr>
        <w:t xml:space="preserve">The ongoing sustainability agenda and its effects on ways of </w:t>
      </w:r>
      <w:r w:rsidR="005551B4" w:rsidRPr="009412D7">
        <w:rPr>
          <w:rFonts w:cstheme="minorHAnsi"/>
        </w:rPr>
        <w:t>working.</w:t>
      </w:r>
    </w:p>
    <w:p w14:paraId="7679EF4B" w14:textId="59C9FA38" w:rsidR="005551B4" w:rsidRPr="009412D7" w:rsidRDefault="005551B4" w:rsidP="006772F8">
      <w:pPr>
        <w:jc w:val="both"/>
        <w:rPr>
          <w:rFonts w:cstheme="minorHAnsi"/>
        </w:rPr>
      </w:pPr>
      <w:r w:rsidRPr="009412D7">
        <w:rPr>
          <w:rFonts w:cstheme="minorHAnsi"/>
        </w:rPr>
        <w:t xml:space="preserve">The effects of </w:t>
      </w:r>
      <w:r w:rsidR="00F530A6" w:rsidRPr="009412D7">
        <w:rPr>
          <w:rFonts w:cstheme="minorHAnsi"/>
        </w:rPr>
        <w:t>global supply chain issues and their impacts on</w:t>
      </w:r>
      <w:r w:rsidRPr="009412D7">
        <w:rPr>
          <w:rFonts w:cstheme="minorHAnsi"/>
        </w:rPr>
        <w:t xml:space="preserve"> resources. </w:t>
      </w:r>
    </w:p>
    <w:p w14:paraId="43837C3B" w14:textId="467F30AB" w:rsidR="005551B4" w:rsidRPr="009412D7" w:rsidRDefault="00254FA7" w:rsidP="006772F8">
      <w:pPr>
        <w:jc w:val="both"/>
        <w:rPr>
          <w:rFonts w:cstheme="minorHAnsi"/>
        </w:rPr>
      </w:pPr>
      <w:r w:rsidRPr="009412D7">
        <w:rPr>
          <w:rFonts w:cstheme="minorHAnsi"/>
        </w:rPr>
        <w:t>S</w:t>
      </w:r>
      <w:r w:rsidR="00076F02" w:rsidRPr="009412D7">
        <w:rPr>
          <w:rFonts w:cstheme="minorHAnsi"/>
        </w:rPr>
        <w:t>tructural reforms within the University.</w:t>
      </w:r>
    </w:p>
    <w:p w14:paraId="58245A15" w14:textId="62C3EA02" w:rsidR="00076F02" w:rsidRPr="009412D7" w:rsidRDefault="00B45306" w:rsidP="006772F8">
      <w:pPr>
        <w:jc w:val="both"/>
        <w:rPr>
          <w:rFonts w:cstheme="minorHAnsi"/>
        </w:rPr>
      </w:pPr>
      <w:r w:rsidRPr="009412D7">
        <w:rPr>
          <w:rFonts w:cstheme="minorHAnsi"/>
        </w:rPr>
        <w:t xml:space="preserve">The maintenance and improvement of the University’s Estate and the service obligation inherent in providing soft services to, for instance, buildings with growing maintenance backlogs, or </w:t>
      </w:r>
      <w:r w:rsidR="002C5E0D" w:rsidRPr="009412D7">
        <w:rPr>
          <w:rFonts w:cstheme="minorHAnsi"/>
        </w:rPr>
        <w:t xml:space="preserve">where system infrastructure is no longer fit for purpose. </w:t>
      </w:r>
    </w:p>
    <w:p w14:paraId="10F5383B" w14:textId="07E1AD34" w:rsidR="002C5E0D" w:rsidRPr="009412D7" w:rsidRDefault="002C5E0D" w:rsidP="006772F8">
      <w:pPr>
        <w:jc w:val="both"/>
        <w:rPr>
          <w:rFonts w:cstheme="minorHAnsi"/>
        </w:rPr>
      </w:pPr>
      <w:r w:rsidRPr="009412D7">
        <w:rPr>
          <w:rFonts w:cstheme="minorHAnsi"/>
        </w:rPr>
        <w:t xml:space="preserve">The realisation of the Campus Services Business Plan, and how it supports the Estates Business Plan. </w:t>
      </w:r>
    </w:p>
    <w:p w14:paraId="434ADD4A" w14:textId="33E9B0E4" w:rsidR="00404D95" w:rsidRPr="009412D7" w:rsidRDefault="00404D95" w:rsidP="00C120BC">
      <w:pPr>
        <w:pStyle w:val="NormalWeb"/>
        <w:spacing w:before="0" w:beforeAutospacing="0" w:after="150" w:afterAutospacing="0" w:line="314" w:lineRule="atLeast"/>
        <w:jc w:val="both"/>
        <w:rPr>
          <w:rFonts w:asciiTheme="minorHAnsi" w:hAnsiTheme="minorHAnsi" w:cstheme="minorHAnsi"/>
          <w:b/>
          <w:bCs/>
          <w:color w:val="FF0000"/>
          <w:sz w:val="22"/>
          <w:szCs w:val="22"/>
        </w:rPr>
      </w:pPr>
      <w:r w:rsidRPr="009412D7">
        <w:rPr>
          <w:rFonts w:asciiTheme="minorHAnsi" w:hAnsiTheme="minorHAnsi" w:cstheme="minorHAnsi"/>
          <w:b/>
          <w:bCs/>
          <w:color w:val="FF0000"/>
          <w:sz w:val="22"/>
          <w:szCs w:val="22"/>
        </w:rPr>
        <w:t>Campus Services includes the following service areas</w:t>
      </w:r>
      <w:r w:rsidR="006634A3" w:rsidRPr="009412D7">
        <w:rPr>
          <w:rFonts w:asciiTheme="minorHAnsi" w:hAnsiTheme="minorHAnsi" w:cstheme="minorHAnsi"/>
          <w:b/>
          <w:bCs/>
          <w:color w:val="FF0000"/>
          <w:sz w:val="22"/>
          <w:szCs w:val="22"/>
        </w:rPr>
        <w:t xml:space="preserve"> (for further information</w:t>
      </w:r>
      <w:r w:rsidR="00304786" w:rsidRPr="009412D7">
        <w:rPr>
          <w:rFonts w:asciiTheme="minorHAnsi" w:hAnsiTheme="minorHAnsi" w:cstheme="minorHAnsi"/>
          <w:b/>
          <w:bCs/>
          <w:color w:val="FF0000"/>
          <w:sz w:val="22"/>
          <w:szCs w:val="22"/>
        </w:rPr>
        <w:t xml:space="preserve"> on specific products and services</w:t>
      </w:r>
      <w:r w:rsidR="006634A3" w:rsidRPr="009412D7">
        <w:rPr>
          <w:rFonts w:asciiTheme="minorHAnsi" w:hAnsiTheme="minorHAnsi" w:cstheme="minorHAnsi"/>
          <w:b/>
          <w:bCs/>
          <w:color w:val="FF0000"/>
          <w:sz w:val="22"/>
          <w:szCs w:val="22"/>
        </w:rPr>
        <w:t>, please see each department’s SLA)</w:t>
      </w:r>
      <w:r w:rsidRPr="009412D7">
        <w:rPr>
          <w:rFonts w:asciiTheme="minorHAnsi" w:hAnsiTheme="minorHAnsi" w:cstheme="minorHAnsi"/>
          <w:b/>
          <w:bCs/>
          <w:color w:val="FF0000"/>
          <w:sz w:val="22"/>
          <w:szCs w:val="22"/>
        </w:rPr>
        <w:t>:</w:t>
      </w:r>
    </w:p>
    <w:p w14:paraId="621956D9" w14:textId="77777777" w:rsidR="00BA519F" w:rsidRPr="009412D7" w:rsidRDefault="00BA519F" w:rsidP="00DC1FAD">
      <w:pPr>
        <w:spacing w:after="0" w:line="240" w:lineRule="auto"/>
        <w:jc w:val="both"/>
        <w:rPr>
          <w:rFonts w:cstheme="minorHAnsi"/>
        </w:rPr>
      </w:pPr>
    </w:p>
    <w:bookmarkStart w:id="0" w:name="Building_Support_Services_Home"/>
    <w:p w14:paraId="2A184137" w14:textId="1267BE4E" w:rsidR="00404D95" w:rsidRPr="009412D7" w:rsidRDefault="00404D95" w:rsidP="00C120BC">
      <w:pPr>
        <w:pStyle w:val="NormalWeb"/>
        <w:spacing w:before="0" w:beforeAutospacing="0" w:after="0" w:afterAutospacing="0"/>
        <w:jc w:val="both"/>
        <w:rPr>
          <w:rFonts w:asciiTheme="minorHAnsi" w:hAnsiTheme="minorHAnsi" w:cstheme="minorHAnsi"/>
          <w:color w:val="FF0000"/>
          <w:sz w:val="22"/>
          <w:szCs w:val="22"/>
        </w:rPr>
      </w:pPr>
      <w:r w:rsidRPr="009412D7">
        <w:rPr>
          <w:rFonts w:asciiTheme="minorHAnsi" w:hAnsiTheme="minorHAnsi" w:cstheme="minorHAnsi"/>
          <w:color w:val="FF0000"/>
          <w:sz w:val="22"/>
          <w:szCs w:val="22"/>
        </w:rPr>
        <w:fldChar w:fldCharType="begin"/>
      </w:r>
      <w:r w:rsidRPr="009412D7">
        <w:rPr>
          <w:rFonts w:asciiTheme="minorHAnsi" w:hAnsiTheme="minorHAnsi" w:cstheme="minorHAnsi"/>
          <w:color w:val="FF0000"/>
          <w:sz w:val="22"/>
          <w:szCs w:val="22"/>
        </w:rPr>
        <w:instrText xml:space="preserve"> HYPERLINK "http://www.reading.ac.uk/fmd/BuildingSupportServices/Building_Support_Services_Home.aspx" </w:instrText>
      </w:r>
      <w:r w:rsidRPr="009412D7">
        <w:rPr>
          <w:rFonts w:asciiTheme="minorHAnsi" w:hAnsiTheme="minorHAnsi" w:cstheme="minorHAnsi"/>
          <w:color w:val="FF0000"/>
          <w:sz w:val="22"/>
          <w:szCs w:val="22"/>
        </w:rPr>
        <w:fldChar w:fldCharType="separate"/>
      </w:r>
      <w:r w:rsidRPr="009412D7">
        <w:rPr>
          <w:rFonts w:asciiTheme="minorHAnsi" w:hAnsiTheme="minorHAnsi" w:cstheme="minorHAnsi"/>
          <w:color w:val="FF0000"/>
          <w:sz w:val="22"/>
          <w:szCs w:val="22"/>
        </w:rPr>
        <w:t>Building Support Services</w:t>
      </w:r>
      <w:r w:rsidRPr="009412D7">
        <w:rPr>
          <w:rFonts w:asciiTheme="minorHAnsi" w:hAnsiTheme="minorHAnsi" w:cstheme="minorHAnsi"/>
          <w:color w:val="FF0000"/>
          <w:sz w:val="22"/>
          <w:szCs w:val="22"/>
        </w:rPr>
        <w:fldChar w:fldCharType="end"/>
      </w:r>
      <w:bookmarkEnd w:id="0"/>
    </w:p>
    <w:p w14:paraId="0B2CDD2E" w14:textId="597CE0EA" w:rsidR="00C120BC" w:rsidRPr="009412D7" w:rsidRDefault="007D49D3" w:rsidP="004B05BE">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 xml:space="preserve">Building Support Services </w:t>
      </w:r>
      <w:r w:rsidR="005F1DB3" w:rsidRPr="009412D7">
        <w:rPr>
          <w:rFonts w:asciiTheme="minorHAnsi" w:hAnsiTheme="minorHAnsi" w:cstheme="minorHAnsi"/>
          <w:sz w:val="22"/>
          <w:szCs w:val="22"/>
        </w:rPr>
        <w:t xml:space="preserve">has a remit for providing building liaison support </w:t>
      </w:r>
      <w:r w:rsidR="00557508" w:rsidRPr="009412D7">
        <w:rPr>
          <w:rFonts w:asciiTheme="minorHAnsi" w:hAnsiTheme="minorHAnsi" w:cstheme="minorHAnsi"/>
          <w:sz w:val="22"/>
          <w:szCs w:val="22"/>
        </w:rPr>
        <w:t>between</w:t>
      </w:r>
      <w:r w:rsidR="005F1DB3" w:rsidRPr="009412D7">
        <w:rPr>
          <w:rFonts w:asciiTheme="minorHAnsi" w:hAnsiTheme="minorHAnsi" w:cstheme="minorHAnsi"/>
          <w:sz w:val="22"/>
          <w:szCs w:val="22"/>
        </w:rPr>
        <w:t xml:space="preserve"> building occupants in Schools and Functions</w:t>
      </w:r>
      <w:r w:rsidR="00B5512C" w:rsidRPr="009412D7">
        <w:rPr>
          <w:rFonts w:asciiTheme="minorHAnsi" w:hAnsiTheme="minorHAnsi" w:cstheme="minorHAnsi"/>
          <w:sz w:val="22"/>
          <w:szCs w:val="22"/>
        </w:rPr>
        <w:t xml:space="preserve"> and other Professional Services within the University, such as Maintenance, DTS and Technical Services. </w:t>
      </w:r>
      <w:r w:rsidR="00C120BC" w:rsidRPr="009412D7">
        <w:rPr>
          <w:rFonts w:asciiTheme="minorHAnsi" w:hAnsiTheme="minorHAnsi" w:cstheme="minorHAnsi"/>
          <w:sz w:val="22"/>
          <w:szCs w:val="22"/>
        </w:rPr>
        <w:t xml:space="preserve">Building Support Officers act as the main point of contact for support services, academic staff, building occupants, </w:t>
      </w:r>
      <w:proofErr w:type="gramStart"/>
      <w:r w:rsidR="00C120BC" w:rsidRPr="009412D7">
        <w:rPr>
          <w:rFonts w:asciiTheme="minorHAnsi" w:hAnsiTheme="minorHAnsi" w:cstheme="minorHAnsi"/>
          <w:sz w:val="22"/>
          <w:szCs w:val="22"/>
        </w:rPr>
        <w:t>visitors</w:t>
      </w:r>
      <w:proofErr w:type="gramEnd"/>
      <w:r w:rsidR="00C120BC" w:rsidRPr="009412D7">
        <w:rPr>
          <w:rFonts w:asciiTheme="minorHAnsi" w:hAnsiTheme="minorHAnsi" w:cstheme="minorHAnsi"/>
          <w:sz w:val="22"/>
          <w:szCs w:val="22"/>
        </w:rPr>
        <w:t xml:space="preserve"> and all building users of a range of buildings across the Whiteknights and London Road campus.</w:t>
      </w:r>
      <w:r w:rsidR="009A6217" w:rsidRPr="009412D7">
        <w:rPr>
          <w:rFonts w:asciiTheme="minorHAnsi" w:hAnsiTheme="minorHAnsi" w:cstheme="minorHAnsi"/>
          <w:sz w:val="22"/>
          <w:szCs w:val="22"/>
        </w:rPr>
        <w:t xml:space="preserve"> The BSO team liaise with </w:t>
      </w:r>
      <w:r w:rsidR="00DC3C36" w:rsidRPr="009412D7">
        <w:rPr>
          <w:rFonts w:asciiTheme="minorHAnsi" w:hAnsiTheme="minorHAnsi" w:cstheme="minorHAnsi"/>
          <w:sz w:val="22"/>
          <w:szCs w:val="22"/>
        </w:rPr>
        <w:t>p</w:t>
      </w:r>
      <w:r w:rsidR="009A6217" w:rsidRPr="009412D7">
        <w:rPr>
          <w:rFonts w:asciiTheme="minorHAnsi" w:hAnsiTheme="minorHAnsi" w:cstheme="minorHAnsi"/>
          <w:sz w:val="22"/>
          <w:szCs w:val="22"/>
        </w:rPr>
        <w:t xml:space="preserve">roject </w:t>
      </w:r>
      <w:r w:rsidR="00DC3C36" w:rsidRPr="009412D7">
        <w:rPr>
          <w:rFonts w:asciiTheme="minorHAnsi" w:hAnsiTheme="minorHAnsi" w:cstheme="minorHAnsi"/>
          <w:sz w:val="22"/>
          <w:szCs w:val="22"/>
        </w:rPr>
        <w:t>m</w:t>
      </w:r>
      <w:r w:rsidR="009A6217" w:rsidRPr="009412D7">
        <w:rPr>
          <w:rFonts w:asciiTheme="minorHAnsi" w:hAnsiTheme="minorHAnsi" w:cstheme="minorHAnsi"/>
          <w:sz w:val="22"/>
          <w:szCs w:val="22"/>
        </w:rPr>
        <w:t>anagers and Estates on medium and larger scale improvement works and building works to minimise disruption and keep all building users informed.</w:t>
      </w:r>
    </w:p>
    <w:p w14:paraId="2B0ECD87" w14:textId="77777777" w:rsidR="00C120BC" w:rsidRPr="009412D7" w:rsidRDefault="00C120BC" w:rsidP="004B05BE">
      <w:pPr>
        <w:pStyle w:val="NormalWeb"/>
        <w:spacing w:before="0" w:beforeAutospacing="0" w:after="0" w:afterAutospacing="0"/>
        <w:jc w:val="both"/>
        <w:rPr>
          <w:rFonts w:asciiTheme="minorHAnsi" w:hAnsiTheme="minorHAnsi" w:cstheme="minorHAnsi"/>
          <w:sz w:val="22"/>
          <w:szCs w:val="22"/>
        </w:rPr>
      </w:pPr>
    </w:p>
    <w:bookmarkStart w:id="1" w:name="clean-home"/>
    <w:p w14:paraId="0BA18D9B" w14:textId="77777777" w:rsidR="00C120BC" w:rsidRPr="009412D7" w:rsidRDefault="00404D95" w:rsidP="00C120BC">
      <w:pPr>
        <w:pStyle w:val="NormalWeb"/>
        <w:spacing w:before="0" w:beforeAutospacing="0" w:after="0" w:afterAutospacing="0"/>
        <w:jc w:val="both"/>
        <w:rPr>
          <w:rFonts w:asciiTheme="minorHAnsi" w:hAnsiTheme="minorHAnsi" w:cstheme="minorHAnsi"/>
          <w:color w:val="FF0000"/>
          <w:sz w:val="22"/>
          <w:szCs w:val="22"/>
        </w:rPr>
      </w:pPr>
      <w:r w:rsidRPr="009412D7">
        <w:rPr>
          <w:rFonts w:asciiTheme="minorHAnsi" w:hAnsiTheme="minorHAnsi" w:cstheme="minorHAnsi"/>
          <w:color w:val="FF0000"/>
          <w:sz w:val="22"/>
          <w:szCs w:val="22"/>
        </w:rPr>
        <w:fldChar w:fldCharType="begin"/>
      </w:r>
      <w:r w:rsidRPr="009412D7">
        <w:rPr>
          <w:rFonts w:asciiTheme="minorHAnsi" w:hAnsiTheme="minorHAnsi" w:cstheme="minorHAnsi"/>
          <w:color w:val="FF0000"/>
          <w:sz w:val="22"/>
          <w:szCs w:val="22"/>
        </w:rPr>
        <w:instrText xml:space="preserve"> HYPERLINK "http://www.reading.ac.uk/Cleaning-Services/clean-home.aspx" </w:instrText>
      </w:r>
      <w:r w:rsidRPr="009412D7">
        <w:rPr>
          <w:rFonts w:asciiTheme="minorHAnsi" w:hAnsiTheme="minorHAnsi" w:cstheme="minorHAnsi"/>
          <w:color w:val="FF0000"/>
          <w:sz w:val="22"/>
          <w:szCs w:val="22"/>
        </w:rPr>
        <w:fldChar w:fldCharType="separate"/>
      </w:r>
      <w:r w:rsidRPr="009412D7">
        <w:rPr>
          <w:rFonts w:asciiTheme="minorHAnsi" w:hAnsiTheme="minorHAnsi" w:cstheme="minorHAnsi"/>
          <w:color w:val="FF0000"/>
          <w:sz w:val="22"/>
          <w:szCs w:val="22"/>
        </w:rPr>
        <w:t>Cleaning Services</w:t>
      </w:r>
      <w:r w:rsidRPr="009412D7">
        <w:rPr>
          <w:rFonts w:asciiTheme="minorHAnsi" w:hAnsiTheme="minorHAnsi" w:cstheme="minorHAnsi"/>
          <w:color w:val="FF0000"/>
          <w:sz w:val="22"/>
          <w:szCs w:val="22"/>
        </w:rPr>
        <w:fldChar w:fldCharType="end"/>
      </w:r>
      <w:bookmarkEnd w:id="1"/>
    </w:p>
    <w:p w14:paraId="1F093891" w14:textId="79D1367E" w:rsidR="00404D95" w:rsidRPr="009412D7" w:rsidRDefault="00F03FAC" w:rsidP="004B05BE">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 xml:space="preserve">The University's cleaning staff take great pride in their work and take a professional and pro-active approach to ensure </w:t>
      </w:r>
      <w:r w:rsidR="00404D95" w:rsidRPr="009412D7">
        <w:rPr>
          <w:rFonts w:asciiTheme="minorHAnsi" w:hAnsiTheme="minorHAnsi" w:cstheme="minorHAnsi"/>
          <w:sz w:val="22"/>
          <w:szCs w:val="22"/>
        </w:rPr>
        <w:t>the University's </w:t>
      </w:r>
      <w:r w:rsidRPr="009412D7">
        <w:rPr>
          <w:rFonts w:asciiTheme="minorHAnsi" w:hAnsiTheme="minorHAnsi" w:cstheme="minorHAnsi"/>
          <w:sz w:val="22"/>
          <w:szCs w:val="22"/>
        </w:rPr>
        <w:t>a</w:t>
      </w:r>
      <w:r w:rsidR="00404D95" w:rsidRPr="009412D7">
        <w:rPr>
          <w:rFonts w:asciiTheme="minorHAnsi" w:hAnsiTheme="minorHAnsi" w:cstheme="minorHAnsi"/>
          <w:sz w:val="22"/>
          <w:szCs w:val="22"/>
        </w:rPr>
        <w:t xml:space="preserve">cademic and </w:t>
      </w:r>
      <w:r w:rsidRPr="009412D7">
        <w:rPr>
          <w:rFonts w:asciiTheme="minorHAnsi" w:hAnsiTheme="minorHAnsi" w:cstheme="minorHAnsi"/>
          <w:sz w:val="22"/>
          <w:szCs w:val="22"/>
        </w:rPr>
        <w:t>a</w:t>
      </w:r>
      <w:r w:rsidR="00404D95" w:rsidRPr="009412D7">
        <w:rPr>
          <w:rFonts w:asciiTheme="minorHAnsi" w:hAnsiTheme="minorHAnsi" w:cstheme="minorHAnsi"/>
          <w:sz w:val="22"/>
          <w:szCs w:val="22"/>
        </w:rPr>
        <w:t xml:space="preserve">dministrative </w:t>
      </w:r>
      <w:r w:rsidRPr="009412D7">
        <w:rPr>
          <w:rFonts w:asciiTheme="minorHAnsi" w:hAnsiTheme="minorHAnsi" w:cstheme="minorHAnsi"/>
          <w:sz w:val="22"/>
          <w:szCs w:val="22"/>
        </w:rPr>
        <w:t>b</w:t>
      </w:r>
      <w:r w:rsidR="00404D95" w:rsidRPr="009412D7">
        <w:rPr>
          <w:rFonts w:asciiTheme="minorHAnsi" w:hAnsiTheme="minorHAnsi" w:cstheme="minorHAnsi"/>
          <w:sz w:val="22"/>
          <w:szCs w:val="22"/>
        </w:rPr>
        <w:t>uildings </w:t>
      </w:r>
      <w:r w:rsidR="00DC1FAD" w:rsidRPr="009412D7">
        <w:rPr>
          <w:rFonts w:asciiTheme="minorHAnsi" w:hAnsiTheme="minorHAnsi" w:cstheme="minorHAnsi"/>
          <w:sz w:val="22"/>
          <w:szCs w:val="22"/>
        </w:rPr>
        <w:t xml:space="preserve">and external areas </w:t>
      </w:r>
      <w:r w:rsidR="00404D95" w:rsidRPr="009412D7">
        <w:rPr>
          <w:rFonts w:asciiTheme="minorHAnsi" w:hAnsiTheme="minorHAnsi" w:cstheme="minorHAnsi"/>
          <w:sz w:val="22"/>
          <w:szCs w:val="22"/>
        </w:rPr>
        <w:t xml:space="preserve">are cleaned to a high standard ensuring a pleasant work and study environment for staff, </w:t>
      </w:r>
      <w:proofErr w:type="gramStart"/>
      <w:r w:rsidR="00404D95" w:rsidRPr="009412D7">
        <w:rPr>
          <w:rFonts w:asciiTheme="minorHAnsi" w:hAnsiTheme="minorHAnsi" w:cstheme="minorHAnsi"/>
          <w:sz w:val="22"/>
          <w:szCs w:val="22"/>
        </w:rPr>
        <w:t>students</w:t>
      </w:r>
      <w:proofErr w:type="gramEnd"/>
      <w:r w:rsidR="00404D95" w:rsidRPr="009412D7">
        <w:rPr>
          <w:rFonts w:asciiTheme="minorHAnsi" w:hAnsiTheme="minorHAnsi" w:cstheme="minorHAnsi"/>
          <w:sz w:val="22"/>
          <w:szCs w:val="22"/>
        </w:rPr>
        <w:t xml:space="preserve"> and visitors. </w:t>
      </w:r>
    </w:p>
    <w:p w14:paraId="35DD875E" w14:textId="77777777" w:rsidR="00BA519F" w:rsidRPr="009412D7" w:rsidRDefault="00BA519F" w:rsidP="004B05BE">
      <w:pPr>
        <w:pStyle w:val="NormalWeb"/>
        <w:spacing w:before="0" w:beforeAutospacing="0" w:after="0" w:afterAutospacing="0"/>
        <w:jc w:val="both"/>
        <w:rPr>
          <w:rFonts w:asciiTheme="minorHAnsi" w:hAnsiTheme="minorHAnsi" w:cstheme="minorHAnsi"/>
          <w:sz w:val="22"/>
          <w:szCs w:val="22"/>
        </w:rPr>
      </w:pPr>
    </w:p>
    <w:bookmarkStart w:id="2" w:name="portering-home-copy"/>
    <w:p w14:paraId="266B4D20" w14:textId="77777777" w:rsidR="00C120BC" w:rsidRPr="009412D7" w:rsidRDefault="00404D95" w:rsidP="00C120BC">
      <w:pPr>
        <w:pStyle w:val="NormalWeb"/>
        <w:spacing w:before="0" w:beforeAutospacing="0" w:after="0" w:afterAutospacing="0"/>
        <w:jc w:val="both"/>
        <w:rPr>
          <w:rFonts w:asciiTheme="minorHAnsi" w:hAnsiTheme="minorHAnsi" w:cstheme="minorHAnsi"/>
          <w:color w:val="FF0000"/>
          <w:sz w:val="22"/>
          <w:szCs w:val="22"/>
        </w:rPr>
      </w:pPr>
      <w:r w:rsidRPr="009412D7">
        <w:rPr>
          <w:rFonts w:asciiTheme="minorHAnsi" w:hAnsiTheme="minorHAnsi" w:cstheme="minorHAnsi"/>
          <w:color w:val="FF0000"/>
          <w:sz w:val="22"/>
          <w:szCs w:val="22"/>
        </w:rPr>
        <w:fldChar w:fldCharType="begin"/>
      </w:r>
      <w:r w:rsidRPr="009412D7">
        <w:rPr>
          <w:rFonts w:asciiTheme="minorHAnsi" w:hAnsiTheme="minorHAnsi" w:cstheme="minorHAnsi"/>
          <w:color w:val="FF0000"/>
          <w:sz w:val="22"/>
          <w:szCs w:val="22"/>
        </w:rPr>
        <w:instrText xml:space="preserve"> HYPERLINK "http://www.reading.ac.uk/portering-services/portering-home.aspx" </w:instrText>
      </w:r>
      <w:r w:rsidRPr="009412D7">
        <w:rPr>
          <w:rFonts w:asciiTheme="minorHAnsi" w:hAnsiTheme="minorHAnsi" w:cstheme="minorHAnsi"/>
          <w:color w:val="FF0000"/>
          <w:sz w:val="22"/>
          <w:szCs w:val="22"/>
        </w:rPr>
        <w:fldChar w:fldCharType="separate"/>
      </w:r>
      <w:proofErr w:type="spellStart"/>
      <w:r w:rsidRPr="009412D7">
        <w:rPr>
          <w:rFonts w:asciiTheme="minorHAnsi" w:hAnsiTheme="minorHAnsi" w:cstheme="minorHAnsi"/>
          <w:color w:val="FF0000"/>
          <w:sz w:val="22"/>
          <w:szCs w:val="22"/>
        </w:rPr>
        <w:t>Portering</w:t>
      </w:r>
      <w:proofErr w:type="spellEnd"/>
      <w:r w:rsidRPr="009412D7">
        <w:rPr>
          <w:rFonts w:asciiTheme="minorHAnsi" w:hAnsiTheme="minorHAnsi" w:cstheme="minorHAnsi"/>
          <w:color w:val="FF0000"/>
          <w:sz w:val="22"/>
          <w:szCs w:val="22"/>
        </w:rPr>
        <w:t xml:space="preserve"> Services</w:t>
      </w:r>
      <w:r w:rsidRPr="009412D7">
        <w:rPr>
          <w:rFonts w:asciiTheme="minorHAnsi" w:hAnsiTheme="minorHAnsi" w:cstheme="minorHAnsi"/>
          <w:color w:val="FF0000"/>
          <w:sz w:val="22"/>
          <w:szCs w:val="22"/>
        </w:rPr>
        <w:fldChar w:fldCharType="end"/>
      </w:r>
      <w:bookmarkEnd w:id="2"/>
    </w:p>
    <w:p w14:paraId="3FCBDE81" w14:textId="2FEBAE9A" w:rsidR="00404D95" w:rsidRPr="009412D7" w:rsidRDefault="00F03FAC" w:rsidP="004B05BE">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 xml:space="preserve">Porters play a pivotal role in ensuring that the University's teaching and learning, administrative and commercial activities run smoothly. </w:t>
      </w:r>
      <w:r w:rsidR="00404D95" w:rsidRPr="009412D7">
        <w:rPr>
          <w:rFonts w:asciiTheme="minorHAnsi" w:hAnsiTheme="minorHAnsi" w:cstheme="minorHAnsi"/>
          <w:sz w:val="22"/>
          <w:szCs w:val="22"/>
        </w:rPr>
        <w:t>The </w:t>
      </w:r>
      <w:proofErr w:type="spellStart"/>
      <w:r w:rsidR="00404D95" w:rsidRPr="009412D7">
        <w:rPr>
          <w:rFonts w:asciiTheme="minorHAnsi" w:hAnsiTheme="minorHAnsi" w:cstheme="minorHAnsi"/>
          <w:sz w:val="22"/>
          <w:szCs w:val="22"/>
        </w:rPr>
        <w:t>Portering</w:t>
      </w:r>
      <w:proofErr w:type="spellEnd"/>
      <w:r w:rsidR="00404D95" w:rsidRPr="009412D7">
        <w:rPr>
          <w:rFonts w:asciiTheme="minorHAnsi" w:hAnsiTheme="minorHAnsi" w:cstheme="minorHAnsi"/>
          <w:sz w:val="22"/>
          <w:szCs w:val="22"/>
        </w:rPr>
        <w:t> Team perform a wide range of roles </w:t>
      </w:r>
      <w:proofErr w:type="gramStart"/>
      <w:r w:rsidR="00404D95" w:rsidRPr="009412D7">
        <w:rPr>
          <w:rFonts w:asciiTheme="minorHAnsi" w:hAnsiTheme="minorHAnsi" w:cstheme="minorHAnsi"/>
          <w:sz w:val="22"/>
          <w:szCs w:val="22"/>
        </w:rPr>
        <w:t>including:</w:t>
      </w:r>
      <w:proofErr w:type="gramEnd"/>
      <w:r w:rsidR="00404D95" w:rsidRPr="009412D7">
        <w:rPr>
          <w:rFonts w:asciiTheme="minorHAnsi" w:hAnsiTheme="minorHAnsi" w:cstheme="minorHAnsi"/>
          <w:sz w:val="22"/>
          <w:szCs w:val="22"/>
        </w:rPr>
        <w:t xml:space="preserve"> moving equipment, supporting internal and external events and providing support to centrally bookable teaching space to ensure that the University's activities operate effectively. </w:t>
      </w:r>
    </w:p>
    <w:p w14:paraId="1D092C5D" w14:textId="77777777" w:rsidR="00BA519F" w:rsidRPr="009412D7" w:rsidRDefault="00BA519F" w:rsidP="004B05BE">
      <w:pPr>
        <w:pStyle w:val="NormalWeb"/>
        <w:spacing w:before="0" w:beforeAutospacing="0" w:after="0" w:afterAutospacing="0"/>
        <w:jc w:val="both"/>
        <w:rPr>
          <w:rFonts w:asciiTheme="minorHAnsi" w:hAnsiTheme="minorHAnsi" w:cstheme="minorHAnsi"/>
          <w:sz w:val="22"/>
          <w:szCs w:val="22"/>
        </w:rPr>
      </w:pPr>
    </w:p>
    <w:bookmarkStart w:id="3" w:name="post-home"/>
    <w:p w14:paraId="21BD4203" w14:textId="77777777" w:rsidR="00C120BC" w:rsidRPr="009412D7" w:rsidRDefault="00404D95" w:rsidP="00DC1FAD">
      <w:pPr>
        <w:pStyle w:val="NormalWeb"/>
        <w:spacing w:before="0" w:beforeAutospacing="0" w:after="0" w:afterAutospacing="0"/>
        <w:jc w:val="both"/>
        <w:rPr>
          <w:rFonts w:asciiTheme="minorHAnsi" w:hAnsiTheme="minorHAnsi" w:cstheme="minorHAnsi"/>
          <w:color w:val="FF0000"/>
          <w:sz w:val="22"/>
          <w:szCs w:val="22"/>
        </w:rPr>
      </w:pPr>
      <w:r w:rsidRPr="009412D7">
        <w:rPr>
          <w:rFonts w:asciiTheme="minorHAnsi" w:hAnsiTheme="minorHAnsi" w:cstheme="minorHAnsi"/>
          <w:color w:val="FF0000"/>
          <w:sz w:val="22"/>
          <w:szCs w:val="22"/>
        </w:rPr>
        <w:fldChar w:fldCharType="begin"/>
      </w:r>
      <w:r w:rsidRPr="009412D7">
        <w:rPr>
          <w:rFonts w:asciiTheme="minorHAnsi" w:hAnsiTheme="minorHAnsi" w:cstheme="minorHAnsi"/>
          <w:color w:val="FF0000"/>
          <w:sz w:val="22"/>
          <w:szCs w:val="22"/>
        </w:rPr>
        <w:instrText xml:space="preserve"> HYPERLINK "http://www.reading.ac.uk/post/post-home.aspx" </w:instrText>
      </w:r>
      <w:r w:rsidRPr="009412D7">
        <w:rPr>
          <w:rFonts w:asciiTheme="minorHAnsi" w:hAnsiTheme="minorHAnsi" w:cstheme="minorHAnsi"/>
          <w:color w:val="FF0000"/>
          <w:sz w:val="22"/>
          <w:szCs w:val="22"/>
        </w:rPr>
        <w:fldChar w:fldCharType="separate"/>
      </w:r>
      <w:r w:rsidRPr="009412D7">
        <w:rPr>
          <w:rFonts w:asciiTheme="minorHAnsi" w:hAnsiTheme="minorHAnsi" w:cstheme="minorHAnsi"/>
          <w:color w:val="FF0000"/>
          <w:sz w:val="22"/>
          <w:szCs w:val="22"/>
        </w:rPr>
        <w:t>Postal Services</w:t>
      </w:r>
      <w:r w:rsidRPr="009412D7">
        <w:rPr>
          <w:rFonts w:asciiTheme="minorHAnsi" w:hAnsiTheme="minorHAnsi" w:cstheme="minorHAnsi"/>
          <w:color w:val="FF0000"/>
          <w:sz w:val="22"/>
          <w:szCs w:val="22"/>
        </w:rPr>
        <w:fldChar w:fldCharType="end"/>
      </w:r>
      <w:bookmarkEnd w:id="3"/>
    </w:p>
    <w:p w14:paraId="2BDC755D" w14:textId="59B9AD6F" w:rsidR="00C120BC" w:rsidRPr="009412D7" w:rsidRDefault="005F2D54" w:rsidP="004B05BE">
      <w:pPr>
        <w:pStyle w:val="NormalWeb"/>
        <w:spacing w:before="0" w:beforeAutospacing="0" w:after="0" w:afterAutospacing="0"/>
        <w:jc w:val="both"/>
        <w:rPr>
          <w:rFonts w:asciiTheme="minorHAnsi" w:hAnsiTheme="minorHAnsi" w:cstheme="minorHAnsi"/>
          <w:sz w:val="22"/>
          <w:szCs w:val="22"/>
        </w:rPr>
      </w:pPr>
      <w:r w:rsidRPr="009412D7">
        <w:rPr>
          <w:rFonts w:asciiTheme="minorHAnsi" w:hAnsiTheme="minorHAnsi" w:cstheme="minorHAnsi"/>
          <w:sz w:val="22"/>
          <w:szCs w:val="22"/>
        </w:rPr>
        <w:t xml:space="preserve">Postal Services has a remit for </w:t>
      </w:r>
      <w:r w:rsidR="00442FC1" w:rsidRPr="009412D7">
        <w:rPr>
          <w:rFonts w:asciiTheme="minorHAnsi" w:hAnsiTheme="minorHAnsi" w:cstheme="minorHAnsi"/>
          <w:sz w:val="22"/>
          <w:szCs w:val="22"/>
        </w:rPr>
        <w:t xml:space="preserve">delivering and collecting items of post within the University Estate, providing a Mail Shop for University staff, </w:t>
      </w:r>
      <w:proofErr w:type="gramStart"/>
      <w:r w:rsidR="00442FC1" w:rsidRPr="009412D7">
        <w:rPr>
          <w:rFonts w:asciiTheme="minorHAnsi" w:hAnsiTheme="minorHAnsi" w:cstheme="minorHAnsi"/>
          <w:sz w:val="22"/>
          <w:szCs w:val="22"/>
        </w:rPr>
        <w:t>students</w:t>
      </w:r>
      <w:proofErr w:type="gramEnd"/>
      <w:r w:rsidR="00442FC1" w:rsidRPr="009412D7">
        <w:rPr>
          <w:rFonts w:asciiTheme="minorHAnsi" w:hAnsiTheme="minorHAnsi" w:cstheme="minorHAnsi"/>
          <w:sz w:val="22"/>
          <w:szCs w:val="22"/>
        </w:rPr>
        <w:t xml:space="preserve"> and visitors, and liaises with mail, courier and despatch services for the University. </w:t>
      </w:r>
      <w:r w:rsidR="00404D95" w:rsidRPr="009412D7">
        <w:rPr>
          <w:rFonts w:asciiTheme="minorHAnsi" w:hAnsiTheme="minorHAnsi" w:cstheme="minorHAnsi"/>
          <w:sz w:val="22"/>
          <w:szCs w:val="22"/>
        </w:rPr>
        <w:t>The post room handles over 300,000 items of mail each year</w:t>
      </w:r>
      <w:r w:rsidR="0089424F" w:rsidRPr="009412D7">
        <w:rPr>
          <w:rFonts w:asciiTheme="minorHAnsi" w:hAnsiTheme="minorHAnsi" w:cstheme="minorHAnsi"/>
          <w:sz w:val="22"/>
          <w:szCs w:val="22"/>
        </w:rPr>
        <w:t>.</w:t>
      </w:r>
      <w:r w:rsidR="00404D95" w:rsidRPr="009412D7">
        <w:rPr>
          <w:rFonts w:asciiTheme="minorHAnsi" w:hAnsiTheme="minorHAnsi" w:cstheme="minorHAnsi"/>
          <w:sz w:val="22"/>
          <w:szCs w:val="22"/>
        </w:rPr>
        <w:t xml:space="preserve"> </w:t>
      </w:r>
      <w:bookmarkStart w:id="4" w:name="fmd-cs-reception"/>
    </w:p>
    <w:p w14:paraId="6B0C2F59" w14:textId="77777777" w:rsidR="00C120BC" w:rsidRPr="009412D7" w:rsidRDefault="00C120BC" w:rsidP="004B05BE">
      <w:pPr>
        <w:pStyle w:val="NormalWeb"/>
        <w:spacing w:before="0" w:beforeAutospacing="0" w:after="0" w:afterAutospacing="0"/>
        <w:jc w:val="both"/>
        <w:rPr>
          <w:rFonts w:asciiTheme="minorHAnsi" w:hAnsiTheme="minorHAnsi" w:cstheme="minorHAnsi"/>
          <w:sz w:val="22"/>
          <w:szCs w:val="22"/>
        </w:rPr>
      </w:pPr>
    </w:p>
    <w:p w14:paraId="2719043E" w14:textId="52D8693E" w:rsidR="00D10CE2" w:rsidRPr="009412D7" w:rsidRDefault="00256FAD" w:rsidP="00C120BC">
      <w:pPr>
        <w:pStyle w:val="NormalWeb"/>
        <w:spacing w:before="0" w:beforeAutospacing="0" w:after="0" w:afterAutospacing="0"/>
        <w:jc w:val="both"/>
        <w:rPr>
          <w:rFonts w:asciiTheme="minorHAnsi" w:hAnsiTheme="minorHAnsi" w:cstheme="minorHAnsi"/>
          <w:color w:val="FF0000"/>
          <w:sz w:val="22"/>
          <w:szCs w:val="22"/>
        </w:rPr>
      </w:pPr>
      <w:hyperlink r:id="rId7" w:history="1">
        <w:r w:rsidR="0061549B">
          <w:rPr>
            <w:rFonts w:asciiTheme="minorHAnsi" w:hAnsiTheme="minorHAnsi" w:cstheme="minorHAnsi"/>
            <w:color w:val="FF0000"/>
            <w:sz w:val="22"/>
            <w:szCs w:val="22"/>
          </w:rPr>
          <w:t xml:space="preserve">Front Desk </w:t>
        </w:r>
        <w:r w:rsidR="00404D95" w:rsidRPr="009412D7">
          <w:rPr>
            <w:rFonts w:asciiTheme="minorHAnsi" w:hAnsiTheme="minorHAnsi" w:cstheme="minorHAnsi"/>
            <w:color w:val="FF0000"/>
            <w:sz w:val="22"/>
            <w:szCs w:val="22"/>
          </w:rPr>
          <w:t>and Administration Services</w:t>
        </w:r>
      </w:hyperlink>
      <w:bookmarkEnd w:id="4"/>
      <w:r w:rsidR="00404D95" w:rsidRPr="009412D7">
        <w:rPr>
          <w:rFonts w:asciiTheme="minorHAnsi" w:hAnsiTheme="minorHAnsi" w:cstheme="minorHAnsi"/>
          <w:color w:val="FF0000"/>
          <w:sz w:val="22"/>
          <w:szCs w:val="22"/>
        </w:rPr>
        <w:t xml:space="preserve"> </w:t>
      </w:r>
    </w:p>
    <w:p w14:paraId="1DFD6443" w14:textId="15FB307B" w:rsidR="00404D95" w:rsidRPr="009412D7" w:rsidRDefault="00D10CE2" w:rsidP="004B05BE">
      <w:pPr>
        <w:pStyle w:val="NormalWeb"/>
        <w:spacing w:before="0" w:beforeAutospacing="0" w:after="0" w:afterAutospacing="0"/>
        <w:jc w:val="both"/>
        <w:rPr>
          <w:rFonts w:asciiTheme="minorHAnsi" w:hAnsiTheme="minorHAnsi" w:cstheme="minorHAnsi"/>
          <w:color w:val="FF0000"/>
          <w:sz w:val="22"/>
          <w:szCs w:val="22"/>
        </w:rPr>
      </w:pPr>
      <w:r w:rsidRPr="009412D7">
        <w:rPr>
          <w:rFonts w:asciiTheme="minorHAnsi" w:hAnsiTheme="minorHAnsi" w:cstheme="minorHAnsi"/>
          <w:sz w:val="22"/>
          <w:szCs w:val="22"/>
        </w:rPr>
        <w:t xml:space="preserve">The </w:t>
      </w:r>
      <w:r w:rsidR="0061549B">
        <w:rPr>
          <w:rFonts w:asciiTheme="minorHAnsi" w:hAnsiTheme="minorHAnsi" w:cstheme="minorHAnsi"/>
          <w:sz w:val="22"/>
          <w:szCs w:val="22"/>
        </w:rPr>
        <w:t>Front Desk</w:t>
      </w:r>
      <w:r w:rsidRPr="009412D7">
        <w:rPr>
          <w:rFonts w:asciiTheme="minorHAnsi" w:hAnsiTheme="minorHAnsi" w:cstheme="minorHAnsi"/>
          <w:sz w:val="22"/>
          <w:szCs w:val="22"/>
        </w:rPr>
        <w:t xml:space="preserve"> &amp; Administration Services team have responsibility for administering the University's parking systems, </w:t>
      </w:r>
      <w:proofErr w:type="gramStart"/>
      <w:r w:rsidRPr="009412D7">
        <w:rPr>
          <w:rFonts w:asciiTheme="minorHAnsi" w:hAnsiTheme="minorHAnsi" w:cstheme="minorHAnsi"/>
          <w:sz w:val="22"/>
          <w:szCs w:val="22"/>
        </w:rPr>
        <w:t>lost</w:t>
      </w:r>
      <w:proofErr w:type="gramEnd"/>
      <w:r w:rsidRPr="009412D7">
        <w:rPr>
          <w:rFonts w:asciiTheme="minorHAnsi" w:hAnsiTheme="minorHAnsi" w:cstheme="minorHAnsi"/>
          <w:sz w:val="22"/>
          <w:szCs w:val="22"/>
        </w:rPr>
        <w:t xml:space="preserve"> and found property</w:t>
      </w:r>
      <w:r w:rsidR="009412D7" w:rsidRPr="009412D7">
        <w:rPr>
          <w:rFonts w:asciiTheme="minorHAnsi" w:hAnsiTheme="minorHAnsi" w:cstheme="minorHAnsi"/>
          <w:sz w:val="22"/>
          <w:szCs w:val="22"/>
        </w:rPr>
        <w:t>,</w:t>
      </w:r>
      <w:r w:rsidRPr="009412D7">
        <w:rPr>
          <w:rFonts w:asciiTheme="minorHAnsi" w:hAnsiTheme="minorHAnsi" w:cstheme="minorHAnsi"/>
          <w:sz w:val="22"/>
          <w:szCs w:val="22"/>
        </w:rPr>
        <w:t xml:space="preserve"> as well as staffing the University's receptions on </w:t>
      </w:r>
      <w:r w:rsidRPr="009412D7">
        <w:rPr>
          <w:rFonts w:asciiTheme="minorHAnsi" w:hAnsiTheme="minorHAnsi" w:cstheme="minorHAnsi"/>
          <w:sz w:val="22"/>
          <w:szCs w:val="22"/>
        </w:rPr>
        <w:lastRenderedPageBreak/>
        <w:t>Whiteknights and London Road Campuses.</w:t>
      </w:r>
      <w:r w:rsidR="009412D7" w:rsidRPr="009412D7">
        <w:rPr>
          <w:rFonts w:asciiTheme="minorHAnsi" w:hAnsiTheme="minorHAnsi" w:cstheme="minorHAnsi"/>
          <w:sz w:val="22"/>
          <w:szCs w:val="22"/>
        </w:rPr>
        <w:t xml:space="preserve"> Administrative support is provided to other departments within Campus Services. </w:t>
      </w:r>
    </w:p>
    <w:p w14:paraId="0926A233" w14:textId="77777777" w:rsidR="00C120BC" w:rsidRPr="009412D7" w:rsidRDefault="00C120BC" w:rsidP="004B05BE">
      <w:pPr>
        <w:pStyle w:val="NormalWeb"/>
        <w:spacing w:before="0" w:beforeAutospacing="0" w:after="0" w:afterAutospacing="0"/>
        <w:jc w:val="both"/>
        <w:rPr>
          <w:rFonts w:asciiTheme="minorHAnsi" w:hAnsiTheme="minorHAnsi" w:cstheme="minorHAnsi"/>
          <w:sz w:val="22"/>
          <w:szCs w:val="22"/>
        </w:rPr>
      </w:pPr>
    </w:p>
    <w:bookmarkStart w:id="5" w:name="sec-home"/>
    <w:p w14:paraId="34E6A039" w14:textId="77777777" w:rsidR="00C120BC" w:rsidRPr="009412D7" w:rsidRDefault="00404D95" w:rsidP="00C120BC">
      <w:pPr>
        <w:pStyle w:val="NormalWeb"/>
        <w:spacing w:before="0" w:beforeAutospacing="0" w:after="0" w:afterAutospacing="0"/>
        <w:jc w:val="both"/>
        <w:rPr>
          <w:rFonts w:asciiTheme="minorHAnsi" w:hAnsiTheme="minorHAnsi" w:cstheme="minorHAnsi"/>
          <w:color w:val="FF0000"/>
          <w:sz w:val="22"/>
          <w:szCs w:val="22"/>
        </w:rPr>
      </w:pPr>
      <w:r w:rsidRPr="009412D7">
        <w:rPr>
          <w:rFonts w:asciiTheme="minorHAnsi" w:hAnsiTheme="minorHAnsi" w:cstheme="minorHAnsi"/>
          <w:color w:val="FF0000"/>
          <w:sz w:val="22"/>
          <w:szCs w:val="22"/>
        </w:rPr>
        <w:fldChar w:fldCharType="begin"/>
      </w:r>
      <w:r w:rsidRPr="009412D7">
        <w:rPr>
          <w:rFonts w:asciiTheme="minorHAnsi" w:hAnsiTheme="minorHAnsi" w:cstheme="minorHAnsi"/>
          <w:color w:val="FF0000"/>
          <w:sz w:val="22"/>
          <w:szCs w:val="22"/>
        </w:rPr>
        <w:instrText xml:space="preserve"> HYPERLINK "http://www.reading.ac.uk/security/sec-home.aspx" </w:instrText>
      </w:r>
      <w:r w:rsidRPr="009412D7">
        <w:rPr>
          <w:rFonts w:asciiTheme="minorHAnsi" w:hAnsiTheme="minorHAnsi" w:cstheme="minorHAnsi"/>
          <w:color w:val="FF0000"/>
          <w:sz w:val="22"/>
          <w:szCs w:val="22"/>
        </w:rPr>
        <w:fldChar w:fldCharType="separate"/>
      </w:r>
      <w:r w:rsidRPr="009412D7">
        <w:rPr>
          <w:rFonts w:asciiTheme="minorHAnsi" w:hAnsiTheme="minorHAnsi" w:cstheme="minorHAnsi"/>
          <w:color w:val="FF0000"/>
          <w:sz w:val="22"/>
          <w:szCs w:val="22"/>
        </w:rPr>
        <w:t>Security Services</w:t>
      </w:r>
      <w:r w:rsidRPr="009412D7">
        <w:rPr>
          <w:rFonts w:asciiTheme="minorHAnsi" w:hAnsiTheme="minorHAnsi" w:cstheme="minorHAnsi"/>
          <w:color w:val="FF0000"/>
          <w:sz w:val="22"/>
          <w:szCs w:val="22"/>
        </w:rPr>
        <w:fldChar w:fldCharType="end"/>
      </w:r>
      <w:bookmarkEnd w:id="5"/>
    </w:p>
    <w:p w14:paraId="2B059340" w14:textId="141F09B6" w:rsidR="007E1A8E" w:rsidRPr="009412D7" w:rsidRDefault="007E1A8E" w:rsidP="004B05BE">
      <w:pPr>
        <w:spacing w:after="0" w:line="240" w:lineRule="auto"/>
        <w:jc w:val="both"/>
        <w:rPr>
          <w:rFonts w:eastAsia="Times New Roman" w:cstheme="minorHAnsi"/>
          <w:lang w:eastAsia="en-GB"/>
        </w:rPr>
      </w:pPr>
      <w:r w:rsidRPr="009412D7">
        <w:rPr>
          <w:rFonts w:eastAsia="Times New Roman" w:cstheme="minorHAnsi"/>
          <w:lang w:eastAsia="en-GB"/>
        </w:rPr>
        <w:t>The overarching purpose of Security Services is to safeguard people and property at the University of Reading. There is an in-house team of around fifty uniformed Security Services staff operating 24/7/365. Patrols, both on foot and in marked vehicles, are conducted across Whiteknights Campus; London Road Campus; Greenlands Campus; and other University owned property. All members of the team are appropriately trained to respond to fire and intruder alarm activations, medical emergencies as first responders and licenced under the Security Industry Authority.</w:t>
      </w:r>
    </w:p>
    <w:p w14:paraId="4C11ECA8" w14:textId="5FD93D01" w:rsidR="00BF7B8D" w:rsidRPr="009412D7" w:rsidRDefault="00BF7B8D" w:rsidP="004B05BE">
      <w:pPr>
        <w:spacing w:after="0" w:line="240" w:lineRule="auto"/>
        <w:jc w:val="both"/>
        <w:rPr>
          <w:rFonts w:cstheme="minorHAnsi"/>
        </w:rPr>
      </w:pPr>
    </w:p>
    <w:p w14:paraId="2C0632CB" w14:textId="77777777" w:rsidR="004B05BE" w:rsidRPr="009412D7" w:rsidRDefault="004B05BE" w:rsidP="004B05BE">
      <w:pPr>
        <w:spacing w:after="0" w:line="240" w:lineRule="auto"/>
        <w:jc w:val="both"/>
        <w:rPr>
          <w:rFonts w:cstheme="minorHAnsi"/>
        </w:rPr>
      </w:pPr>
    </w:p>
    <w:p w14:paraId="1D8D304C" w14:textId="77777777" w:rsidR="00BF7B8D" w:rsidRPr="009412D7" w:rsidRDefault="00BF7B8D" w:rsidP="00BF7B8D">
      <w:pPr>
        <w:pStyle w:val="NormalWeb"/>
        <w:spacing w:before="0" w:beforeAutospacing="0" w:after="150" w:afterAutospacing="0" w:line="314" w:lineRule="atLeast"/>
        <w:jc w:val="both"/>
        <w:rPr>
          <w:rFonts w:asciiTheme="minorHAnsi" w:hAnsiTheme="minorHAnsi" w:cstheme="minorHAnsi"/>
          <w:b/>
          <w:bCs/>
          <w:color w:val="FF0000"/>
          <w:sz w:val="22"/>
          <w:szCs w:val="22"/>
        </w:rPr>
      </w:pPr>
      <w:r w:rsidRPr="009412D7">
        <w:rPr>
          <w:rFonts w:asciiTheme="minorHAnsi" w:hAnsiTheme="minorHAnsi" w:cstheme="minorHAnsi"/>
          <w:b/>
          <w:bCs/>
          <w:color w:val="FF0000"/>
          <w:sz w:val="22"/>
          <w:szCs w:val="22"/>
        </w:rPr>
        <w:t xml:space="preserve">Activities </w:t>
      </w:r>
    </w:p>
    <w:p w14:paraId="27198C36" w14:textId="35C89471" w:rsidR="00BF7B8D" w:rsidRPr="009412D7" w:rsidRDefault="00BF7B8D" w:rsidP="00C120BC">
      <w:pPr>
        <w:jc w:val="both"/>
        <w:rPr>
          <w:rFonts w:eastAsia="Times New Roman" w:cstheme="minorHAnsi"/>
          <w:lang w:eastAsia="en-GB"/>
        </w:rPr>
      </w:pPr>
      <w:r w:rsidRPr="009412D7">
        <w:rPr>
          <w:rFonts w:eastAsia="Times New Roman" w:cstheme="minorHAnsi"/>
          <w:lang w:eastAsia="en-GB"/>
        </w:rPr>
        <w:t xml:space="preserve">The table below shows </w:t>
      </w:r>
      <w:r w:rsidR="00425EC1" w:rsidRPr="009412D7">
        <w:rPr>
          <w:rFonts w:eastAsia="Times New Roman" w:cstheme="minorHAnsi"/>
          <w:lang w:eastAsia="en-GB"/>
        </w:rPr>
        <w:t>the</w:t>
      </w:r>
      <w:r w:rsidRPr="009412D7">
        <w:rPr>
          <w:rFonts w:eastAsia="Times New Roman" w:cstheme="minorHAnsi"/>
          <w:lang w:eastAsia="en-GB"/>
        </w:rPr>
        <w:t xml:space="preserve"> Campus Services activities </w:t>
      </w:r>
      <w:r w:rsidR="00425EC1" w:rsidRPr="009412D7">
        <w:rPr>
          <w:rFonts w:eastAsia="Times New Roman" w:cstheme="minorHAnsi"/>
          <w:lang w:eastAsia="en-GB"/>
        </w:rPr>
        <w:t xml:space="preserve">within the scope of </w:t>
      </w:r>
      <w:proofErr w:type="gramStart"/>
      <w:r w:rsidR="00425EC1" w:rsidRPr="009412D7">
        <w:rPr>
          <w:rFonts w:eastAsia="Times New Roman" w:cstheme="minorHAnsi"/>
          <w:lang w:eastAsia="en-GB"/>
        </w:rPr>
        <w:t>our</w:t>
      </w:r>
      <w:r w:rsidRPr="009412D7">
        <w:rPr>
          <w:rFonts w:eastAsia="Times New Roman" w:cstheme="minorHAnsi"/>
          <w:lang w:eastAsia="en-GB"/>
        </w:rPr>
        <w:t xml:space="preserve">  ISO</w:t>
      </w:r>
      <w:proofErr w:type="gramEnd"/>
      <w:r w:rsidRPr="009412D7">
        <w:rPr>
          <w:rFonts w:eastAsia="Times New Roman" w:cstheme="minorHAnsi"/>
          <w:lang w:eastAsia="en-GB"/>
        </w:rPr>
        <w:t xml:space="preserve"> 9001</w:t>
      </w:r>
      <w:r w:rsidR="004C401E" w:rsidRPr="009412D7">
        <w:rPr>
          <w:rFonts w:eastAsia="Times New Roman" w:cstheme="minorHAnsi"/>
          <w:lang w:eastAsia="en-GB"/>
        </w:rPr>
        <w:t>:2015</w:t>
      </w:r>
      <w:r w:rsidR="00425EC1" w:rsidRPr="009412D7">
        <w:rPr>
          <w:rFonts w:eastAsia="Times New Roman" w:cstheme="minorHAnsi"/>
          <w:lang w:eastAsia="en-GB"/>
        </w:rPr>
        <w:t xml:space="preserve"> QMS</w:t>
      </w:r>
      <w:r w:rsidRPr="009412D7">
        <w:rPr>
          <w:rFonts w:eastAsia="Times New Roman" w:cstheme="minorHAnsi"/>
          <w:lang w:eastAsia="en-GB"/>
        </w:rPr>
        <w:t>.</w:t>
      </w:r>
    </w:p>
    <w:p w14:paraId="1986FF8E" w14:textId="1A74EBCA" w:rsidR="004C401E" w:rsidRPr="009412D7" w:rsidRDefault="004C401E" w:rsidP="00C120BC">
      <w:pPr>
        <w:jc w:val="both"/>
        <w:rPr>
          <w:rFonts w:eastAsia="Times New Roman" w:cstheme="minorHAnsi"/>
          <w:lang w:eastAsia="en-GB"/>
        </w:rPr>
      </w:pPr>
      <w:r w:rsidRPr="009412D7">
        <w:rPr>
          <w:rFonts w:eastAsia="Times New Roman" w:cstheme="minorHAnsi"/>
          <w:lang w:eastAsia="en-GB"/>
        </w:rPr>
        <w:t xml:space="preserve">Our certification is focused on our departments providing the </w:t>
      </w:r>
      <w:proofErr w:type="gramStart"/>
      <w:r w:rsidRPr="009412D7">
        <w:rPr>
          <w:rFonts w:eastAsia="Times New Roman" w:cstheme="minorHAnsi"/>
          <w:lang w:eastAsia="en-GB"/>
        </w:rPr>
        <w:t>above named</w:t>
      </w:r>
      <w:proofErr w:type="gramEnd"/>
      <w:r w:rsidRPr="009412D7">
        <w:rPr>
          <w:rFonts w:eastAsia="Times New Roman" w:cstheme="minorHAnsi"/>
          <w:lang w:eastAsia="en-GB"/>
        </w:rPr>
        <w:t xml:space="preserve"> services, therefore we need to make it clear what activities should be assessed under the certificate, and those that are ‘externally provided’ i.e. they are outside the scope of the assessment, but we monitor and manage the service providers to help us deliver our services. </w:t>
      </w:r>
    </w:p>
    <w:tbl>
      <w:tblPr>
        <w:tblStyle w:val="TableGrid"/>
        <w:tblW w:w="9498" w:type="dxa"/>
        <w:tblInd w:w="-289" w:type="dxa"/>
        <w:tblLook w:val="04A0" w:firstRow="1" w:lastRow="0" w:firstColumn="1" w:lastColumn="0" w:noHBand="0" w:noVBand="1"/>
      </w:tblPr>
      <w:tblGrid>
        <w:gridCol w:w="3119"/>
        <w:gridCol w:w="1594"/>
        <w:gridCol w:w="1595"/>
        <w:gridCol w:w="1595"/>
        <w:gridCol w:w="1595"/>
      </w:tblGrid>
      <w:tr w:rsidR="00BF7B8D" w:rsidRPr="009412D7" w14:paraId="4D1A3CD4" w14:textId="77777777" w:rsidTr="00A5056B">
        <w:tc>
          <w:tcPr>
            <w:tcW w:w="3119" w:type="dxa"/>
          </w:tcPr>
          <w:p w14:paraId="70399574" w14:textId="77777777" w:rsidR="00BF7B8D" w:rsidRPr="009412D7" w:rsidRDefault="00BF7B8D" w:rsidP="00BF7B8D">
            <w:pPr>
              <w:jc w:val="center"/>
              <w:rPr>
                <w:rFonts w:cstheme="minorHAnsi"/>
                <w:b/>
                <w:bCs/>
              </w:rPr>
            </w:pPr>
          </w:p>
          <w:p w14:paraId="554F6D43" w14:textId="6E7A9882" w:rsidR="00BF7B8D" w:rsidRPr="009412D7" w:rsidRDefault="00BF7B8D" w:rsidP="00BF7B8D">
            <w:pPr>
              <w:jc w:val="center"/>
              <w:rPr>
                <w:rFonts w:cstheme="minorHAnsi"/>
                <w:b/>
                <w:bCs/>
              </w:rPr>
            </w:pPr>
            <w:r w:rsidRPr="009412D7">
              <w:rPr>
                <w:rFonts w:cstheme="minorHAnsi"/>
                <w:b/>
                <w:bCs/>
              </w:rPr>
              <w:t>Activities</w:t>
            </w:r>
          </w:p>
        </w:tc>
        <w:tc>
          <w:tcPr>
            <w:tcW w:w="1594" w:type="dxa"/>
          </w:tcPr>
          <w:p w14:paraId="43AA0FEC" w14:textId="77777777" w:rsidR="00BF7B8D" w:rsidRPr="009412D7" w:rsidRDefault="00BF7B8D" w:rsidP="00BF7B8D">
            <w:pPr>
              <w:jc w:val="center"/>
              <w:rPr>
                <w:rFonts w:cstheme="minorHAnsi"/>
                <w:b/>
                <w:bCs/>
              </w:rPr>
            </w:pPr>
          </w:p>
          <w:p w14:paraId="631F8A4A" w14:textId="6C278870" w:rsidR="00BF7B8D" w:rsidRPr="009412D7" w:rsidRDefault="00BF7B8D" w:rsidP="00BF7B8D">
            <w:pPr>
              <w:jc w:val="center"/>
              <w:rPr>
                <w:rFonts w:cstheme="minorHAnsi"/>
                <w:b/>
                <w:bCs/>
              </w:rPr>
            </w:pPr>
            <w:r w:rsidRPr="009412D7">
              <w:rPr>
                <w:rFonts w:cstheme="minorHAnsi"/>
                <w:b/>
                <w:bCs/>
              </w:rPr>
              <w:t>Reading</w:t>
            </w:r>
          </w:p>
        </w:tc>
        <w:tc>
          <w:tcPr>
            <w:tcW w:w="1595" w:type="dxa"/>
          </w:tcPr>
          <w:p w14:paraId="01A623DF" w14:textId="77777777" w:rsidR="00BF7B8D" w:rsidRPr="009412D7" w:rsidRDefault="00BF7B8D" w:rsidP="00BF7B8D">
            <w:pPr>
              <w:jc w:val="center"/>
              <w:rPr>
                <w:rFonts w:cstheme="minorHAnsi"/>
                <w:b/>
                <w:bCs/>
              </w:rPr>
            </w:pPr>
          </w:p>
          <w:p w14:paraId="4C0928C0" w14:textId="6E31A57A" w:rsidR="00BF7B8D" w:rsidRPr="009412D7" w:rsidRDefault="00BF7B8D" w:rsidP="00BF7B8D">
            <w:pPr>
              <w:jc w:val="center"/>
              <w:rPr>
                <w:rFonts w:cstheme="minorHAnsi"/>
                <w:b/>
                <w:bCs/>
              </w:rPr>
            </w:pPr>
            <w:r w:rsidRPr="009412D7">
              <w:rPr>
                <w:rFonts w:cstheme="minorHAnsi"/>
                <w:b/>
                <w:bCs/>
              </w:rPr>
              <w:t>Henley</w:t>
            </w:r>
          </w:p>
        </w:tc>
        <w:tc>
          <w:tcPr>
            <w:tcW w:w="1595" w:type="dxa"/>
          </w:tcPr>
          <w:p w14:paraId="166D2EDC" w14:textId="762116F4" w:rsidR="00BF7B8D" w:rsidRPr="009412D7" w:rsidRDefault="00BF7B8D" w:rsidP="00BF7B8D">
            <w:pPr>
              <w:jc w:val="center"/>
              <w:rPr>
                <w:rFonts w:cstheme="minorHAnsi"/>
                <w:b/>
                <w:bCs/>
              </w:rPr>
            </w:pPr>
            <w:r w:rsidRPr="009412D7">
              <w:rPr>
                <w:rFonts w:cstheme="minorHAnsi"/>
                <w:b/>
                <w:bCs/>
              </w:rPr>
              <w:t>Service Providers (Reading)</w:t>
            </w:r>
          </w:p>
        </w:tc>
        <w:tc>
          <w:tcPr>
            <w:tcW w:w="1595" w:type="dxa"/>
          </w:tcPr>
          <w:p w14:paraId="75AB70FB" w14:textId="457D61E3" w:rsidR="00BF7B8D" w:rsidRPr="009412D7" w:rsidRDefault="00BF7B8D" w:rsidP="00BF7B8D">
            <w:pPr>
              <w:jc w:val="center"/>
              <w:rPr>
                <w:rFonts w:cstheme="minorHAnsi"/>
                <w:b/>
                <w:bCs/>
              </w:rPr>
            </w:pPr>
            <w:r w:rsidRPr="009412D7">
              <w:rPr>
                <w:rFonts w:cstheme="minorHAnsi"/>
                <w:b/>
                <w:bCs/>
              </w:rPr>
              <w:t>Service Providers (Henley)</w:t>
            </w:r>
          </w:p>
        </w:tc>
      </w:tr>
      <w:tr w:rsidR="00BF7B8D" w:rsidRPr="009412D7" w14:paraId="3907A707" w14:textId="77777777" w:rsidTr="00354374">
        <w:trPr>
          <w:trHeight w:val="299"/>
        </w:trPr>
        <w:tc>
          <w:tcPr>
            <w:tcW w:w="3119" w:type="dxa"/>
          </w:tcPr>
          <w:p w14:paraId="029C5D5F" w14:textId="181B9D30" w:rsidR="00BF7B8D" w:rsidRPr="009412D7" w:rsidRDefault="00A5056B" w:rsidP="00A5056B">
            <w:pPr>
              <w:jc w:val="center"/>
              <w:rPr>
                <w:rFonts w:cstheme="minorHAnsi"/>
              </w:rPr>
            </w:pPr>
            <w:r w:rsidRPr="009412D7">
              <w:rPr>
                <w:rFonts w:cstheme="minorHAnsi"/>
              </w:rPr>
              <w:t>Building Support</w:t>
            </w:r>
          </w:p>
        </w:tc>
        <w:tc>
          <w:tcPr>
            <w:tcW w:w="1594" w:type="dxa"/>
          </w:tcPr>
          <w:p w14:paraId="43B6BC82" w14:textId="18F511F3" w:rsidR="00BF7B8D" w:rsidRPr="009412D7" w:rsidRDefault="00A5056B" w:rsidP="00A5056B">
            <w:pPr>
              <w:jc w:val="center"/>
              <w:rPr>
                <w:rFonts w:cstheme="minorHAnsi"/>
              </w:rPr>
            </w:pPr>
            <w:r w:rsidRPr="009412D7">
              <w:rPr>
                <w:rFonts w:cstheme="minorHAnsi"/>
              </w:rPr>
              <w:t>X</w:t>
            </w:r>
          </w:p>
        </w:tc>
        <w:tc>
          <w:tcPr>
            <w:tcW w:w="1595" w:type="dxa"/>
          </w:tcPr>
          <w:p w14:paraId="546AAD81" w14:textId="77777777" w:rsidR="00BF7B8D" w:rsidRPr="009412D7" w:rsidRDefault="00BF7B8D" w:rsidP="00A5056B">
            <w:pPr>
              <w:jc w:val="center"/>
              <w:rPr>
                <w:rFonts w:cstheme="minorHAnsi"/>
              </w:rPr>
            </w:pPr>
          </w:p>
        </w:tc>
        <w:tc>
          <w:tcPr>
            <w:tcW w:w="1595" w:type="dxa"/>
          </w:tcPr>
          <w:p w14:paraId="1B8F1C63" w14:textId="77777777" w:rsidR="00BF7B8D" w:rsidRPr="009412D7" w:rsidRDefault="00BF7B8D" w:rsidP="00A5056B">
            <w:pPr>
              <w:jc w:val="center"/>
              <w:rPr>
                <w:rFonts w:cstheme="minorHAnsi"/>
              </w:rPr>
            </w:pPr>
          </w:p>
        </w:tc>
        <w:tc>
          <w:tcPr>
            <w:tcW w:w="1595" w:type="dxa"/>
          </w:tcPr>
          <w:p w14:paraId="5C40B25E" w14:textId="77777777" w:rsidR="00BF7B8D" w:rsidRPr="009412D7" w:rsidRDefault="00BF7B8D" w:rsidP="00A5056B">
            <w:pPr>
              <w:jc w:val="center"/>
              <w:rPr>
                <w:rFonts w:cstheme="minorHAnsi"/>
              </w:rPr>
            </w:pPr>
          </w:p>
        </w:tc>
      </w:tr>
      <w:tr w:rsidR="00BF7B8D" w:rsidRPr="009412D7" w14:paraId="35F90554" w14:textId="77777777" w:rsidTr="00354374">
        <w:trPr>
          <w:trHeight w:val="299"/>
        </w:trPr>
        <w:tc>
          <w:tcPr>
            <w:tcW w:w="3119" w:type="dxa"/>
          </w:tcPr>
          <w:p w14:paraId="759F7A14" w14:textId="5A266CAD" w:rsidR="00A5056B" w:rsidRPr="009412D7" w:rsidRDefault="00A5056B" w:rsidP="00A5056B">
            <w:pPr>
              <w:jc w:val="center"/>
              <w:rPr>
                <w:rFonts w:cstheme="minorHAnsi"/>
              </w:rPr>
            </w:pPr>
            <w:r w:rsidRPr="009412D7">
              <w:rPr>
                <w:rFonts w:cstheme="minorHAnsi"/>
              </w:rPr>
              <w:t>Cleaning</w:t>
            </w:r>
          </w:p>
        </w:tc>
        <w:tc>
          <w:tcPr>
            <w:tcW w:w="1594" w:type="dxa"/>
          </w:tcPr>
          <w:p w14:paraId="021B367F" w14:textId="0CBE56D2" w:rsidR="00BF7B8D" w:rsidRPr="009412D7" w:rsidRDefault="00A5056B" w:rsidP="00A5056B">
            <w:pPr>
              <w:jc w:val="center"/>
              <w:rPr>
                <w:rFonts w:cstheme="minorHAnsi"/>
              </w:rPr>
            </w:pPr>
            <w:r w:rsidRPr="009412D7">
              <w:rPr>
                <w:rFonts w:cstheme="minorHAnsi"/>
              </w:rPr>
              <w:t>X</w:t>
            </w:r>
          </w:p>
        </w:tc>
        <w:tc>
          <w:tcPr>
            <w:tcW w:w="1595" w:type="dxa"/>
          </w:tcPr>
          <w:p w14:paraId="690668E5" w14:textId="77777777" w:rsidR="00BF7B8D" w:rsidRPr="009412D7" w:rsidRDefault="00BF7B8D" w:rsidP="00A5056B">
            <w:pPr>
              <w:jc w:val="center"/>
              <w:rPr>
                <w:rFonts w:cstheme="minorHAnsi"/>
              </w:rPr>
            </w:pPr>
          </w:p>
        </w:tc>
        <w:tc>
          <w:tcPr>
            <w:tcW w:w="1595" w:type="dxa"/>
          </w:tcPr>
          <w:p w14:paraId="35F31354" w14:textId="77777777" w:rsidR="00BF7B8D" w:rsidRPr="009412D7" w:rsidRDefault="00BF7B8D" w:rsidP="00A5056B">
            <w:pPr>
              <w:jc w:val="center"/>
              <w:rPr>
                <w:rFonts w:cstheme="minorHAnsi"/>
              </w:rPr>
            </w:pPr>
          </w:p>
        </w:tc>
        <w:tc>
          <w:tcPr>
            <w:tcW w:w="1595" w:type="dxa"/>
          </w:tcPr>
          <w:p w14:paraId="49394AD7" w14:textId="77777777" w:rsidR="00BF7B8D" w:rsidRPr="009412D7" w:rsidRDefault="00BF7B8D" w:rsidP="00A5056B">
            <w:pPr>
              <w:jc w:val="center"/>
              <w:rPr>
                <w:rFonts w:cstheme="minorHAnsi"/>
              </w:rPr>
            </w:pPr>
          </w:p>
        </w:tc>
      </w:tr>
      <w:tr w:rsidR="004B05BE" w:rsidRPr="009412D7" w14:paraId="6ED9351D" w14:textId="77777777" w:rsidTr="00354374">
        <w:trPr>
          <w:trHeight w:val="299"/>
        </w:trPr>
        <w:tc>
          <w:tcPr>
            <w:tcW w:w="3119" w:type="dxa"/>
          </w:tcPr>
          <w:p w14:paraId="350C695F" w14:textId="09BDB49D" w:rsidR="004B05BE" w:rsidRPr="009412D7" w:rsidRDefault="004B05BE" w:rsidP="00A5056B">
            <w:pPr>
              <w:jc w:val="center"/>
              <w:rPr>
                <w:rFonts w:cstheme="minorHAnsi"/>
              </w:rPr>
            </w:pPr>
            <w:r w:rsidRPr="009412D7">
              <w:rPr>
                <w:rFonts w:cstheme="minorHAnsi"/>
              </w:rPr>
              <w:t>Lost Property</w:t>
            </w:r>
          </w:p>
        </w:tc>
        <w:tc>
          <w:tcPr>
            <w:tcW w:w="1594" w:type="dxa"/>
          </w:tcPr>
          <w:p w14:paraId="38333C54" w14:textId="074D9881" w:rsidR="004B05BE" w:rsidRPr="009412D7" w:rsidRDefault="004B05BE" w:rsidP="00A5056B">
            <w:pPr>
              <w:jc w:val="center"/>
              <w:rPr>
                <w:rFonts w:cstheme="minorHAnsi"/>
              </w:rPr>
            </w:pPr>
            <w:r w:rsidRPr="009412D7">
              <w:rPr>
                <w:rFonts w:cstheme="minorHAnsi"/>
              </w:rPr>
              <w:t>X</w:t>
            </w:r>
          </w:p>
        </w:tc>
        <w:tc>
          <w:tcPr>
            <w:tcW w:w="1595" w:type="dxa"/>
          </w:tcPr>
          <w:p w14:paraId="209E2731" w14:textId="77777777" w:rsidR="004B05BE" w:rsidRPr="009412D7" w:rsidRDefault="004B05BE" w:rsidP="00A5056B">
            <w:pPr>
              <w:jc w:val="center"/>
              <w:rPr>
                <w:rFonts w:cstheme="minorHAnsi"/>
              </w:rPr>
            </w:pPr>
          </w:p>
        </w:tc>
        <w:tc>
          <w:tcPr>
            <w:tcW w:w="1595" w:type="dxa"/>
          </w:tcPr>
          <w:p w14:paraId="6E52354D" w14:textId="77777777" w:rsidR="004B05BE" w:rsidRPr="009412D7" w:rsidRDefault="004B05BE" w:rsidP="00A5056B">
            <w:pPr>
              <w:jc w:val="center"/>
              <w:rPr>
                <w:rFonts w:cstheme="minorHAnsi"/>
              </w:rPr>
            </w:pPr>
          </w:p>
        </w:tc>
        <w:tc>
          <w:tcPr>
            <w:tcW w:w="1595" w:type="dxa"/>
          </w:tcPr>
          <w:p w14:paraId="62D3B525" w14:textId="77777777" w:rsidR="004B05BE" w:rsidRPr="009412D7" w:rsidRDefault="004B05BE" w:rsidP="00A5056B">
            <w:pPr>
              <w:jc w:val="center"/>
              <w:rPr>
                <w:rFonts w:cstheme="minorHAnsi"/>
              </w:rPr>
            </w:pPr>
          </w:p>
        </w:tc>
      </w:tr>
      <w:tr w:rsidR="004B05BE" w:rsidRPr="009412D7" w14:paraId="7EE4A1A5" w14:textId="77777777" w:rsidTr="00354374">
        <w:trPr>
          <w:trHeight w:val="299"/>
        </w:trPr>
        <w:tc>
          <w:tcPr>
            <w:tcW w:w="3119" w:type="dxa"/>
          </w:tcPr>
          <w:p w14:paraId="58FFADB0" w14:textId="6ACEBC53" w:rsidR="004B05BE" w:rsidRPr="009412D7" w:rsidRDefault="004B05BE" w:rsidP="00A5056B">
            <w:pPr>
              <w:jc w:val="center"/>
              <w:rPr>
                <w:rFonts w:cstheme="minorHAnsi"/>
              </w:rPr>
            </w:pPr>
            <w:r w:rsidRPr="009412D7">
              <w:rPr>
                <w:rFonts w:cstheme="minorHAnsi"/>
              </w:rPr>
              <w:t>Parking</w:t>
            </w:r>
          </w:p>
        </w:tc>
        <w:tc>
          <w:tcPr>
            <w:tcW w:w="1594" w:type="dxa"/>
          </w:tcPr>
          <w:p w14:paraId="63B70B48" w14:textId="32B704B3" w:rsidR="004B05BE" w:rsidRPr="009412D7" w:rsidRDefault="004B05BE" w:rsidP="00A5056B">
            <w:pPr>
              <w:jc w:val="center"/>
              <w:rPr>
                <w:rFonts w:cstheme="minorHAnsi"/>
              </w:rPr>
            </w:pPr>
            <w:r w:rsidRPr="009412D7">
              <w:rPr>
                <w:rFonts w:cstheme="minorHAnsi"/>
              </w:rPr>
              <w:t>X</w:t>
            </w:r>
          </w:p>
        </w:tc>
        <w:tc>
          <w:tcPr>
            <w:tcW w:w="1595" w:type="dxa"/>
          </w:tcPr>
          <w:p w14:paraId="0038BAE7" w14:textId="77777777" w:rsidR="004B05BE" w:rsidRPr="009412D7" w:rsidRDefault="004B05BE" w:rsidP="00A5056B">
            <w:pPr>
              <w:jc w:val="center"/>
              <w:rPr>
                <w:rFonts w:cstheme="minorHAnsi"/>
              </w:rPr>
            </w:pPr>
          </w:p>
        </w:tc>
        <w:tc>
          <w:tcPr>
            <w:tcW w:w="1595" w:type="dxa"/>
          </w:tcPr>
          <w:p w14:paraId="1B66D90E" w14:textId="77777777" w:rsidR="004B05BE" w:rsidRPr="009412D7" w:rsidRDefault="004B05BE" w:rsidP="00A5056B">
            <w:pPr>
              <w:jc w:val="center"/>
              <w:rPr>
                <w:rFonts w:cstheme="minorHAnsi"/>
              </w:rPr>
            </w:pPr>
          </w:p>
        </w:tc>
        <w:tc>
          <w:tcPr>
            <w:tcW w:w="1595" w:type="dxa"/>
          </w:tcPr>
          <w:p w14:paraId="53A1BD36" w14:textId="77777777" w:rsidR="004B05BE" w:rsidRPr="009412D7" w:rsidRDefault="004B05BE" w:rsidP="00A5056B">
            <w:pPr>
              <w:jc w:val="center"/>
              <w:rPr>
                <w:rFonts w:cstheme="minorHAnsi"/>
              </w:rPr>
            </w:pPr>
          </w:p>
        </w:tc>
      </w:tr>
      <w:tr w:rsidR="00A5056B" w:rsidRPr="009412D7" w14:paraId="182F154B" w14:textId="77777777" w:rsidTr="00354374">
        <w:trPr>
          <w:trHeight w:val="299"/>
        </w:trPr>
        <w:tc>
          <w:tcPr>
            <w:tcW w:w="3119" w:type="dxa"/>
          </w:tcPr>
          <w:p w14:paraId="2FBD0AFC" w14:textId="7695C86E" w:rsidR="00A5056B" w:rsidRPr="009412D7" w:rsidRDefault="00A5056B" w:rsidP="00A5056B">
            <w:pPr>
              <w:jc w:val="center"/>
              <w:rPr>
                <w:rFonts w:cstheme="minorHAnsi"/>
              </w:rPr>
            </w:pPr>
            <w:proofErr w:type="spellStart"/>
            <w:r w:rsidRPr="009412D7">
              <w:rPr>
                <w:rFonts w:cstheme="minorHAnsi"/>
              </w:rPr>
              <w:t>Portering</w:t>
            </w:r>
            <w:proofErr w:type="spellEnd"/>
          </w:p>
        </w:tc>
        <w:tc>
          <w:tcPr>
            <w:tcW w:w="1594" w:type="dxa"/>
          </w:tcPr>
          <w:p w14:paraId="025B23AB" w14:textId="7C5CEA29" w:rsidR="00A5056B" w:rsidRPr="009412D7" w:rsidRDefault="00A5056B" w:rsidP="00A5056B">
            <w:pPr>
              <w:jc w:val="center"/>
              <w:rPr>
                <w:rFonts w:cstheme="minorHAnsi"/>
              </w:rPr>
            </w:pPr>
            <w:r w:rsidRPr="009412D7">
              <w:rPr>
                <w:rFonts w:cstheme="minorHAnsi"/>
              </w:rPr>
              <w:t>X</w:t>
            </w:r>
          </w:p>
        </w:tc>
        <w:tc>
          <w:tcPr>
            <w:tcW w:w="1595" w:type="dxa"/>
          </w:tcPr>
          <w:p w14:paraId="7D73FA7C" w14:textId="77777777" w:rsidR="00A5056B" w:rsidRPr="009412D7" w:rsidRDefault="00A5056B" w:rsidP="00A5056B">
            <w:pPr>
              <w:jc w:val="center"/>
              <w:rPr>
                <w:rFonts w:cstheme="minorHAnsi"/>
              </w:rPr>
            </w:pPr>
          </w:p>
        </w:tc>
        <w:tc>
          <w:tcPr>
            <w:tcW w:w="1595" w:type="dxa"/>
          </w:tcPr>
          <w:p w14:paraId="655D5D0F" w14:textId="77777777" w:rsidR="00A5056B" w:rsidRPr="009412D7" w:rsidRDefault="00A5056B" w:rsidP="00A5056B">
            <w:pPr>
              <w:jc w:val="center"/>
              <w:rPr>
                <w:rFonts w:cstheme="minorHAnsi"/>
              </w:rPr>
            </w:pPr>
          </w:p>
        </w:tc>
        <w:tc>
          <w:tcPr>
            <w:tcW w:w="1595" w:type="dxa"/>
          </w:tcPr>
          <w:p w14:paraId="49C7FC83" w14:textId="77777777" w:rsidR="00A5056B" w:rsidRPr="009412D7" w:rsidRDefault="00A5056B" w:rsidP="00A5056B">
            <w:pPr>
              <w:jc w:val="center"/>
              <w:rPr>
                <w:rFonts w:cstheme="minorHAnsi"/>
              </w:rPr>
            </w:pPr>
          </w:p>
        </w:tc>
      </w:tr>
      <w:tr w:rsidR="00A5056B" w:rsidRPr="009412D7" w14:paraId="22DF6875" w14:textId="77777777" w:rsidTr="00354374">
        <w:trPr>
          <w:trHeight w:val="299"/>
        </w:trPr>
        <w:tc>
          <w:tcPr>
            <w:tcW w:w="3119" w:type="dxa"/>
          </w:tcPr>
          <w:p w14:paraId="6150A0B5" w14:textId="5EF4C6BD" w:rsidR="00A5056B" w:rsidRPr="009412D7" w:rsidRDefault="00A5056B" w:rsidP="00A5056B">
            <w:pPr>
              <w:jc w:val="center"/>
              <w:rPr>
                <w:rFonts w:cstheme="minorHAnsi"/>
              </w:rPr>
            </w:pPr>
            <w:r w:rsidRPr="009412D7">
              <w:rPr>
                <w:rFonts w:cstheme="minorHAnsi"/>
              </w:rPr>
              <w:t>Post</w:t>
            </w:r>
          </w:p>
        </w:tc>
        <w:tc>
          <w:tcPr>
            <w:tcW w:w="1594" w:type="dxa"/>
          </w:tcPr>
          <w:p w14:paraId="6D321E03" w14:textId="13902F6B" w:rsidR="00A5056B" w:rsidRPr="009412D7" w:rsidRDefault="00A5056B" w:rsidP="00A5056B">
            <w:pPr>
              <w:jc w:val="center"/>
              <w:rPr>
                <w:rFonts w:cstheme="minorHAnsi"/>
              </w:rPr>
            </w:pPr>
            <w:r w:rsidRPr="009412D7">
              <w:rPr>
                <w:rFonts w:cstheme="minorHAnsi"/>
              </w:rPr>
              <w:t>X</w:t>
            </w:r>
          </w:p>
        </w:tc>
        <w:tc>
          <w:tcPr>
            <w:tcW w:w="1595" w:type="dxa"/>
          </w:tcPr>
          <w:p w14:paraId="36B64643" w14:textId="6998D6FB" w:rsidR="00A5056B" w:rsidRPr="009412D7" w:rsidRDefault="00F530A6" w:rsidP="00A5056B">
            <w:pPr>
              <w:jc w:val="center"/>
              <w:rPr>
                <w:rFonts w:cstheme="minorHAnsi"/>
              </w:rPr>
            </w:pPr>
            <w:r w:rsidRPr="009412D7">
              <w:rPr>
                <w:rFonts w:cstheme="minorHAnsi"/>
              </w:rPr>
              <w:t>X</w:t>
            </w:r>
          </w:p>
        </w:tc>
        <w:tc>
          <w:tcPr>
            <w:tcW w:w="1595" w:type="dxa"/>
          </w:tcPr>
          <w:p w14:paraId="09B244D8" w14:textId="77777777" w:rsidR="00A5056B" w:rsidRPr="009412D7" w:rsidRDefault="00A5056B" w:rsidP="00A5056B">
            <w:pPr>
              <w:jc w:val="center"/>
              <w:rPr>
                <w:rFonts w:cstheme="minorHAnsi"/>
              </w:rPr>
            </w:pPr>
          </w:p>
        </w:tc>
        <w:tc>
          <w:tcPr>
            <w:tcW w:w="1595" w:type="dxa"/>
          </w:tcPr>
          <w:p w14:paraId="1707D768" w14:textId="77777777" w:rsidR="00A5056B" w:rsidRPr="009412D7" w:rsidRDefault="00A5056B" w:rsidP="00A5056B">
            <w:pPr>
              <w:jc w:val="center"/>
              <w:rPr>
                <w:rFonts w:cstheme="minorHAnsi"/>
              </w:rPr>
            </w:pPr>
          </w:p>
        </w:tc>
      </w:tr>
      <w:tr w:rsidR="00A5056B" w:rsidRPr="009412D7" w14:paraId="7AF787A5" w14:textId="77777777" w:rsidTr="00354374">
        <w:trPr>
          <w:trHeight w:val="299"/>
        </w:trPr>
        <w:tc>
          <w:tcPr>
            <w:tcW w:w="3119" w:type="dxa"/>
          </w:tcPr>
          <w:p w14:paraId="15FC31E7" w14:textId="401E3A45" w:rsidR="00A5056B" w:rsidRPr="009412D7" w:rsidRDefault="0061549B" w:rsidP="00A5056B">
            <w:pPr>
              <w:jc w:val="center"/>
              <w:rPr>
                <w:rFonts w:cstheme="minorHAnsi"/>
              </w:rPr>
            </w:pPr>
            <w:r>
              <w:rPr>
                <w:rFonts w:cstheme="minorHAnsi"/>
              </w:rPr>
              <w:t>Front Desk</w:t>
            </w:r>
          </w:p>
        </w:tc>
        <w:tc>
          <w:tcPr>
            <w:tcW w:w="1594" w:type="dxa"/>
          </w:tcPr>
          <w:p w14:paraId="071319D4" w14:textId="1D77CD8D" w:rsidR="00A5056B" w:rsidRPr="009412D7" w:rsidRDefault="00A5056B" w:rsidP="00A5056B">
            <w:pPr>
              <w:jc w:val="center"/>
              <w:rPr>
                <w:rFonts w:cstheme="minorHAnsi"/>
              </w:rPr>
            </w:pPr>
            <w:r w:rsidRPr="009412D7">
              <w:rPr>
                <w:rFonts w:cstheme="minorHAnsi"/>
              </w:rPr>
              <w:t>X</w:t>
            </w:r>
          </w:p>
        </w:tc>
        <w:tc>
          <w:tcPr>
            <w:tcW w:w="1595" w:type="dxa"/>
          </w:tcPr>
          <w:p w14:paraId="02D28242" w14:textId="77777777" w:rsidR="00A5056B" w:rsidRPr="009412D7" w:rsidRDefault="00A5056B" w:rsidP="00A5056B">
            <w:pPr>
              <w:jc w:val="center"/>
              <w:rPr>
                <w:rFonts w:cstheme="minorHAnsi"/>
              </w:rPr>
            </w:pPr>
          </w:p>
        </w:tc>
        <w:tc>
          <w:tcPr>
            <w:tcW w:w="1595" w:type="dxa"/>
          </w:tcPr>
          <w:p w14:paraId="60DBBFD8" w14:textId="77777777" w:rsidR="00A5056B" w:rsidRPr="009412D7" w:rsidRDefault="00A5056B" w:rsidP="00A5056B">
            <w:pPr>
              <w:jc w:val="center"/>
              <w:rPr>
                <w:rFonts w:cstheme="minorHAnsi"/>
              </w:rPr>
            </w:pPr>
          </w:p>
        </w:tc>
        <w:tc>
          <w:tcPr>
            <w:tcW w:w="1595" w:type="dxa"/>
          </w:tcPr>
          <w:p w14:paraId="695B9F34" w14:textId="77777777" w:rsidR="00A5056B" w:rsidRPr="009412D7" w:rsidRDefault="00A5056B" w:rsidP="00A5056B">
            <w:pPr>
              <w:jc w:val="center"/>
              <w:rPr>
                <w:rFonts w:cstheme="minorHAnsi"/>
              </w:rPr>
            </w:pPr>
          </w:p>
        </w:tc>
      </w:tr>
      <w:tr w:rsidR="00A5056B" w:rsidRPr="009412D7" w14:paraId="3339CB8B" w14:textId="77777777" w:rsidTr="00354374">
        <w:trPr>
          <w:trHeight w:val="299"/>
        </w:trPr>
        <w:tc>
          <w:tcPr>
            <w:tcW w:w="3119" w:type="dxa"/>
          </w:tcPr>
          <w:p w14:paraId="6FB70267" w14:textId="3ADB778F" w:rsidR="00A5056B" w:rsidRPr="009412D7" w:rsidRDefault="00A5056B" w:rsidP="00A5056B">
            <w:pPr>
              <w:jc w:val="center"/>
              <w:rPr>
                <w:rFonts w:cstheme="minorHAnsi"/>
              </w:rPr>
            </w:pPr>
            <w:r w:rsidRPr="009412D7">
              <w:rPr>
                <w:rFonts w:cstheme="minorHAnsi"/>
              </w:rPr>
              <w:t>Security</w:t>
            </w:r>
          </w:p>
        </w:tc>
        <w:tc>
          <w:tcPr>
            <w:tcW w:w="1594" w:type="dxa"/>
          </w:tcPr>
          <w:p w14:paraId="5AE42892" w14:textId="18155E1C" w:rsidR="00A5056B" w:rsidRPr="009412D7" w:rsidRDefault="00A5056B" w:rsidP="00A5056B">
            <w:pPr>
              <w:jc w:val="center"/>
              <w:rPr>
                <w:rFonts w:cstheme="minorHAnsi"/>
              </w:rPr>
            </w:pPr>
            <w:r w:rsidRPr="009412D7">
              <w:rPr>
                <w:rFonts w:cstheme="minorHAnsi"/>
              </w:rPr>
              <w:t>X</w:t>
            </w:r>
          </w:p>
        </w:tc>
        <w:tc>
          <w:tcPr>
            <w:tcW w:w="1595" w:type="dxa"/>
          </w:tcPr>
          <w:p w14:paraId="7DF54C51" w14:textId="06C82161" w:rsidR="00A5056B" w:rsidRPr="009412D7" w:rsidRDefault="00A5056B" w:rsidP="00A5056B">
            <w:pPr>
              <w:jc w:val="center"/>
              <w:rPr>
                <w:rFonts w:cstheme="minorHAnsi"/>
              </w:rPr>
            </w:pPr>
            <w:r w:rsidRPr="009412D7">
              <w:rPr>
                <w:rFonts w:cstheme="minorHAnsi"/>
              </w:rPr>
              <w:t>X</w:t>
            </w:r>
          </w:p>
        </w:tc>
        <w:tc>
          <w:tcPr>
            <w:tcW w:w="1595" w:type="dxa"/>
          </w:tcPr>
          <w:p w14:paraId="467DB31D" w14:textId="77777777" w:rsidR="00A5056B" w:rsidRPr="009412D7" w:rsidRDefault="00A5056B" w:rsidP="00A5056B">
            <w:pPr>
              <w:jc w:val="center"/>
              <w:rPr>
                <w:rFonts w:cstheme="minorHAnsi"/>
              </w:rPr>
            </w:pPr>
          </w:p>
        </w:tc>
        <w:tc>
          <w:tcPr>
            <w:tcW w:w="1595" w:type="dxa"/>
          </w:tcPr>
          <w:p w14:paraId="5F4D4AC2" w14:textId="77777777" w:rsidR="00A5056B" w:rsidRPr="009412D7" w:rsidRDefault="00A5056B" w:rsidP="00A5056B">
            <w:pPr>
              <w:jc w:val="center"/>
              <w:rPr>
                <w:rFonts w:cstheme="minorHAnsi"/>
              </w:rPr>
            </w:pPr>
          </w:p>
        </w:tc>
      </w:tr>
      <w:tr w:rsidR="00A5056B" w:rsidRPr="009412D7" w14:paraId="3B939933" w14:textId="77777777" w:rsidTr="00354374">
        <w:trPr>
          <w:trHeight w:val="299"/>
        </w:trPr>
        <w:tc>
          <w:tcPr>
            <w:tcW w:w="3119" w:type="dxa"/>
          </w:tcPr>
          <w:p w14:paraId="2192B841" w14:textId="79F5177A" w:rsidR="00A5056B" w:rsidRPr="009412D7" w:rsidRDefault="00203658" w:rsidP="00A5056B">
            <w:pPr>
              <w:jc w:val="center"/>
              <w:rPr>
                <w:rFonts w:cstheme="minorHAnsi"/>
              </w:rPr>
            </w:pPr>
            <w:r w:rsidRPr="009412D7">
              <w:rPr>
                <w:rFonts w:cstheme="minorHAnsi"/>
              </w:rPr>
              <w:t>Maintenance</w:t>
            </w:r>
          </w:p>
        </w:tc>
        <w:tc>
          <w:tcPr>
            <w:tcW w:w="1594" w:type="dxa"/>
          </w:tcPr>
          <w:p w14:paraId="14B34E1D" w14:textId="77777777" w:rsidR="00A5056B" w:rsidRPr="009412D7" w:rsidRDefault="00A5056B" w:rsidP="00A5056B">
            <w:pPr>
              <w:jc w:val="center"/>
              <w:rPr>
                <w:rFonts w:cstheme="minorHAnsi"/>
              </w:rPr>
            </w:pPr>
          </w:p>
        </w:tc>
        <w:tc>
          <w:tcPr>
            <w:tcW w:w="1595" w:type="dxa"/>
          </w:tcPr>
          <w:p w14:paraId="3DC8605D" w14:textId="77777777" w:rsidR="00A5056B" w:rsidRPr="009412D7" w:rsidRDefault="00A5056B" w:rsidP="00A5056B">
            <w:pPr>
              <w:jc w:val="center"/>
              <w:rPr>
                <w:rFonts w:cstheme="minorHAnsi"/>
              </w:rPr>
            </w:pPr>
          </w:p>
        </w:tc>
        <w:tc>
          <w:tcPr>
            <w:tcW w:w="1595" w:type="dxa"/>
          </w:tcPr>
          <w:p w14:paraId="4B25A19B" w14:textId="3D2020BB" w:rsidR="00A5056B" w:rsidRPr="009412D7" w:rsidRDefault="004C401E" w:rsidP="00A5056B">
            <w:pPr>
              <w:jc w:val="center"/>
              <w:rPr>
                <w:rFonts w:cstheme="minorHAnsi"/>
              </w:rPr>
            </w:pPr>
            <w:r w:rsidRPr="009412D7">
              <w:rPr>
                <w:rFonts w:cstheme="minorHAnsi"/>
              </w:rPr>
              <w:t>X</w:t>
            </w:r>
          </w:p>
        </w:tc>
        <w:tc>
          <w:tcPr>
            <w:tcW w:w="1595" w:type="dxa"/>
          </w:tcPr>
          <w:p w14:paraId="7DB59EA2" w14:textId="1A52DB0D" w:rsidR="00A5056B" w:rsidRPr="009412D7" w:rsidRDefault="004C401E" w:rsidP="00A5056B">
            <w:pPr>
              <w:jc w:val="center"/>
              <w:rPr>
                <w:rFonts w:cstheme="minorHAnsi"/>
              </w:rPr>
            </w:pPr>
            <w:r w:rsidRPr="009412D7">
              <w:rPr>
                <w:rFonts w:cstheme="minorHAnsi"/>
              </w:rPr>
              <w:t>X</w:t>
            </w:r>
          </w:p>
        </w:tc>
      </w:tr>
      <w:tr w:rsidR="004B05BE" w:rsidRPr="009412D7" w14:paraId="362815DC" w14:textId="77777777" w:rsidTr="00354374">
        <w:trPr>
          <w:trHeight w:val="299"/>
        </w:trPr>
        <w:tc>
          <w:tcPr>
            <w:tcW w:w="3119" w:type="dxa"/>
          </w:tcPr>
          <w:p w14:paraId="0E14BCB1" w14:textId="2E5D3554" w:rsidR="004B05BE" w:rsidRPr="009412D7" w:rsidRDefault="00203658" w:rsidP="00A5056B">
            <w:pPr>
              <w:jc w:val="center"/>
              <w:rPr>
                <w:rFonts w:cstheme="minorHAnsi"/>
              </w:rPr>
            </w:pPr>
            <w:r w:rsidRPr="009412D7">
              <w:rPr>
                <w:rFonts w:cstheme="minorHAnsi"/>
              </w:rPr>
              <w:t>Catering</w:t>
            </w:r>
          </w:p>
        </w:tc>
        <w:tc>
          <w:tcPr>
            <w:tcW w:w="1594" w:type="dxa"/>
          </w:tcPr>
          <w:p w14:paraId="4C97924A" w14:textId="77777777" w:rsidR="004B05BE" w:rsidRPr="009412D7" w:rsidRDefault="004B05BE" w:rsidP="00A5056B">
            <w:pPr>
              <w:jc w:val="center"/>
              <w:rPr>
                <w:rFonts w:cstheme="minorHAnsi"/>
              </w:rPr>
            </w:pPr>
          </w:p>
        </w:tc>
        <w:tc>
          <w:tcPr>
            <w:tcW w:w="1595" w:type="dxa"/>
          </w:tcPr>
          <w:p w14:paraId="6DD3FF5D" w14:textId="77777777" w:rsidR="004B05BE" w:rsidRPr="009412D7" w:rsidRDefault="004B05BE" w:rsidP="00A5056B">
            <w:pPr>
              <w:jc w:val="center"/>
              <w:rPr>
                <w:rFonts w:cstheme="minorHAnsi"/>
              </w:rPr>
            </w:pPr>
          </w:p>
        </w:tc>
        <w:tc>
          <w:tcPr>
            <w:tcW w:w="1595" w:type="dxa"/>
          </w:tcPr>
          <w:p w14:paraId="78F894DC" w14:textId="14948060" w:rsidR="004B05BE" w:rsidRPr="009412D7" w:rsidRDefault="004C401E" w:rsidP="00A5056B">
            <w:pPr>
              <w:jc w:val="center"/>
              <w:rPr>
                <w:rFonts w:cstheme="minorHAnsi"/>
              </w:rPr>
            </w:pPr>
            <w:r w:rsidRPr="009412D7">
              <w:rPr>
                <w:rFonts w:cstheme="minorHAnsi"/>
              </w:rPr>
              <w:t>X</w:t>
            </w:r>
          </w:p>
        </w:tc>
        <w:tc>
          <w:tcPr>
            <w:tcW w:w="1595" w:type="dxa"/>
          </w:tcPr>
          <w:p w14:paraId="7373A259" w14:textId="541DE7CF" w:rsidR="004B05BE" w:rsidRPr="009412D7" w:rsidRDefault="004C401E" w:rsidP="00A5056B">
            <w:pPr>
              <w:jc w:val="center"/>
              <w:rPr>
                <w:rFonts w:cstheme="minorHAnsi"/>
              </w:rPr>
            </w:pPr>
            <w:r w:rsidRPr="009412D7">
              <w:rPr>
                <w:rFonts w:cstheme="minorHAnsi"/>
              </w:rPr>
              <w:t>X</w:t>
            </w:r>
          </w:p>
        </w:tc>
      </w:tr>
      <w:tr w:rsidR="00203658" w:rsidRPr="009412D7" w14:paraId="55A0FCD7" w14:textId="77777777" w:rsidTr="00354374">
        <w:trPr>
          <w:trHeight w:val="299"/>
        </w:trPr>
        <w:tc>
          <w:tcPr>
            <w:tcW w:w="3119" w:type="dxa"/>
          </w:tcPr>
          <w:p w14:paraId="006E14DB" w14:textId="25FB034B" w:rsidR="00203658" w:rsidRPr="009412D7" w:rsidRDefault="00203658" w:rsidP="00A5056B">
            <w:pPr>
              <w:jc w:val="center"/>
              <w:rPr>
                <w:rFonts w:cstheme="minorHAnsi"/>
              </w:rPr>
            </w:pPr>
            <w:r w:rsidRPr="009412D7">
              <w:rPr>
                <w:rFonts w:cstheme="minorHAnsi"/>
              </w:rPr>
              <w:t>Digital Technology</w:t>
            </w:r>
          </w:p>
        </w:tc>
        <w:tc>
          <w:tcPr>
            <w:tcW w:w="1594" w:type="dxa"/>
          </w:tcPr>
          <w:p w14:paraId="1A22D27A" w14:textId="77777777" w:rsidR="00203658" w:rsidRPr="009412D7" w:rsidRDefault="00203658" w:rsidP="00A5056B">
            <w:pPr>
              <w:jc w:val="center"/>
              <w:rPr>
                <w:rFonts w:cstheme="minorHAnsi"/>
              </w:rPr>
            </w:pPr>
          </w:p>
        </w:tc>
        <w:tc>
          <w:tcPr>
            <w:tcW w:w="1595" w:type="dxa"/>
          </w:tcPr>
          <w:p w14:paraId="44F15FA6" w14:textId="77777777" w:rsidR="00203658" w:rsidRPr="009412D7" w:rsidRDefault="00203658" w:rsidP="00A5056B">
            <w:pPr>
              <w:jc w:val="center"/>
              <w:rPr>
                <w:rFonts w:cstheme="minorHAnsi"/>
              </w:rPr>
            </w:pPr>
          </w:p>
        </w:tc>
        <w:tc>
          <w:tcPr>
            <w:tcW w:w="1595" w:type="dxa"/>
          </w:tcPr>
          <w:p w14:paraId="7AEF33A9" w14:textId="200D9F92" w:rsidR="00203658" w:rsidRPr="009412D7" w:rsidRDefault="004C401E" w:rsidP="00A5056B">
            <w:pPr>
              <w:jc w:val="center"/>
              <w:rPr>
                <w:rFonts w:cstheme="minorHAnsi"/>
              </w:rPr>
            </w:pPr>
            <w:r w:rsidRPr="009412D7">
              <w:rPr>
                <w:rFonts w:cstheme="minorHAnsi"/>
              </w:rPr>
              <w:t>X</w:t>
            </w:r>
          </w:p>
        </w:tc>
        <w:tc>
          <w:tcPr>
            <w:tcW w:w="1595" w:type="dxa"/>
          </w:tcPr>
          <w:p w14:paraId="459DE683" w14:textId="2C65B001" w:rsidR="00203658" w:rsidRPr="009412D7" w:rsidRDefault="004C401E" w:rsidP="00A5056B">
            <w:pPr>
              <w:jc w:val="center"/>
              <w:rPr>
                <w:rFonts w:cstheme="minorHAnsi"/>
              </w:rPr>
            </w:pPr>
            <w:r w:rsidRPr="009412D7">
              <w:rPr>
                <w:rFonts w:cstheme="minorHAnsi"/>
              </w:rPr>
              <w:t>X</w:t>
            </w:r>
          </w:p>
        </w:tc>
      </w:tr>
      <w:tr w:rsidR="00203658" w:rsidRPr="009412D7" w14:paraId="7C9B0CAC" w14:textId="77777777" w:rsidTr="00354374">
        <w:trPr>
          <w:trHeight w:val="299"/>
        </w:trPr>
        <w:tc>
          <w:tcPr>
            <w:tcW w:w="3119" w:type="dxa"/>
          </w:tcPr>
          <w:p w14:paraId="625C98AB" w14:textId="08C8C3A1" w:rsidR="00203658" w:rsidRPr="009412D7" w:rsidRDefault="00203658" w:rsidP="00A5056B">
            <w:pPr>
              <w:jc w:val="center"/>
              <w:rPr>
                <w:rFonts w:cstheme="minorHAnsi"/>
              </w:rPr>
            </w:pPr>
            <w:r w:rsidRPr="009412D7">
              <w:rPr>
                <w:rFonts w:cstheme="minorHAnsi"/>
              </w:rPr>
              <w:t>UPP Halls</w:t>
            </w:r>
          </w:p>
        </w:tc>
        <w:tc>
          <w:tcPr>
            <w:tcW w:w="1594" w:type="dxa"/>
          </w:tcPr>
          <w:p w14:paraId="1559B675" w14:textId="77777777" w:rsidR="00203658" w:rsidRPr="009412D7" w:rsidRDefault="00203658" w:rsidP="00A5056B">
            <w:pPr>
              <w:jc w:val="center"/>
              <w:rPr>
                <w:rFonts w:cstheme="minorHAnsi"/>
              </w:rPr>
            </w:pPr>
          </w:p>
        </w:tc>
        <w:tc>
          <w:tcPr>
            <w:tcW w:w="1595" w:type="dxa"/>
          </w:tcPr>
          <w:p w14:paraId="2DB97448" w14:textId="77777777" w:rsidR="00203658" w:rsidRPr="009412D7" w:rsidRDefault="00203658" w:rsidP="00A5056B">
            <w:pPr>
              <w:jc w:val="center"/>
              <w:rPr>
                <w:rFonts w:cstheme="minorHAnsi"/>
              </w:rPr>
            </w:pPr>
          </w:p>
        </w:tc>
        <w:tc>
          <w:tcPr>
            <w:tcW w:w="1595" w:type="dxa"/>
          </w:tcPr>
          <w:p w14:paraId="3EAEB676" w14:textId="45AF5C76" w:rsidR="00203658" w:rsidRPr="009412D7" w:rsidRDefault="004C401E" w:rsidP="00A5056B">
            <w:pPr>
              <w:jc w:val="center"/>
              <w:rPr>
                <w:rFonts w:cstheme="minorHAnsi"/>
              </w:rPr>
            </w:pPr>
            <w:r w:rsidRPr="009412D7">
              <w:rPr>
                <w:rFonts w:cstheme="minorHAnsi"/>
              </w:rPr>
              <w:t>X</w:t>
            </w:r>
          </w:p>
        </w:tc>
        <w:tc>
          <w:tcPr>
            <w:tcW w:w="1595" w:type="dxa"/>
          </w:tcPr>
          <w:p w14:paraId="4F9AB192" w14:textId="73FF8386" w:rsidR="00203658" w:rsidRPr="009412D7" w:rsidRDefault="004C401E" w:rsidP="00A5056B">
            <w:pPr>
              <w:jc w:val="center"/>
              <w:rPr>
                <w:rFonts w:cstheme="minorHAnsi"/>
              </w:rPr>
            </w:pPr>
            <w:r w:rsidRPr="009412D7">
              <w:rPr>
                <w:rFonts w:cstheme="minorHAnsi"/>
              </w:rPr>
              <w:t>X</w:t>
            </w:r>
          </w:p>
        </w:tc>
      </w:tr>
      <w:tr w:rsidR="00203658" w:rsidRPr="009412D7" w14:paraId="40120490" w14:textId="77777777" w:rsidTr="00354374">
        <w:trPr>
          <w:trHeight w:val="299"/>
        </w:trPr>
        <w:tc>
          <w:tcPr>
            <w:tcW w:w="3119" w:type="dxa"/>
          </w:tcPr>
          <w:p w14:paraId="2E7B4899" w14:textId="700A9767" w:rsidR="00203658" w:rsidRPr="009412D7" w:rsidRDefault="004C401E" w:rsidP="00A5056B">
            <w:pPr>
              <w:jc w:val="center"/>
              <w:rPr>
                <w:rFonts w:cstheme="minorHAnsi"/>
              </w:rPr>
            </w:pPr>
            <w:r w:rsidRPr="009412D7">
              <w:rPr>
                <w:rFonts w:cstheme="minorHAnsi"/>
              </w:rPr>
              <w:t>Procurement</w:t>
            </w:r>
          </w:p>
        </w:tc>
        <w:tc>
          <w:tcPr>
            <w:tcW w:w="1594" w:type="dxa"/>
          </w:tcPr>
          <w:p w14:paraId="4A9CDEF0" w14:textId="77777777" w:rsidR="00203658" w:rsidRPr="009412D7" w:rsidRDefault="00203658" w:rsidP="00A5056B">
            <w:pPr>
              <w:jc w:val="center"/>
              <w:rPr>
                <w:rFonts w:cstheme="minorHAnsi"/>
              </w:rPr>
            </w:pPr>
          </w:p>
        </w:tc>
        <w:tc>
          <w:tcPr>
            <w:tcW w:w="1595" w:type="dxa"/>
          </w:tcPr>
          <w:p w14:paraId="7F21705B" w14:textId="77777777" w:rsidR="00203658" w:rsidRPr="009412D7" w:rsidRDefault="00203658" w:rsidP="00A5056B">
            <w:pPr>
              <w:jc w:val="center"/>
              <w:rPr>
                <w:rFonts w:cstheme="minorHAnsi"/>
              </w:rPr>
            </w:pPr>
          </w:p>
        </w:tc>
        <w:tc>
          <w:tcPr>
            <w:tcW w:w="1595" w:type="dxa"/>
          </w:tcPr>
          <w:p w14:paraId="40E044BA" w14:textId="737AEC16" w:rsidR="00203658" w:rsidRPr="009412D7" w:rsidRDefault="004C401E" w:rsidP="00A5056B">
            <w:pPr>
              <w:jc w:val="center"/>
              <w:rPr>
                <w:rFonts w:cstheme="minorHAnsi"/>
              </w:rPr>
            </w:pPr>
            <w:r w:rsidRPr="009412D7">
              <w:rPr>
                <w:rFonts w:cstheme="minorHAnsi"/>
              </w:rPr>
              <w:t>X</w:t>
            </w:r>
          </w:p>
        </w:tc>
        <w:tc>
          <w:tcPr>
            <w:tcW w:w="1595" w:type="dxa"/>
          </w:tcPr>
          <w:p w14:paraId="76B95C2C" w14:textId="5747AE88" w:rsidR="00203658" w:rsidRPr="009412D7" w:rsidRDefault="004C401E" w:rsidP="00A5056B">
            <w:pPr>
              <w:jc w:val="center"/>
              <w:rPr>
                <w:rFonts w:cstheme="minorHAnsi"/>
              </w:rPr>
            </w:pPr>
            <w:r w:rsidRPr="009412D7">
              <w:rPr>
                <w:rFonts w:cstheme="minorHAnsi"/>
              </w:rPr>
              <w:t>X</w:t>
            </w:r>
          </w:p>
        </w:tc>
      </w:tr>
      <w:tr w:rsidR="004C401E" w:rsidRPr="009412D7" w14:paraId="609A955E" w14:textId="77777777" w:rsidTr="00354374">
        <w:trPr>
          <w:trHeight w:val="299"/>
        </w:trPr>
        <w:tc>
          <w:tcPr>
            <w:tcW w:w="3119" w:type="dxa"/>
          </w:tcPr>
          <w:p w14:paraId="40B0DA01" w14:textId="17B30D23" w:rsidR="004C401E" w:rsidRPr="009412D7" w:rsidRDefault="004C401E" w:rsidP="00A5056B">
            <w:pPr>
              <w:jc w:val="center"/>
              <w:rPr>
                <w:rFonts w:cstheme="minorHAnsi"/>
              </w:rPr>
            </w:pPr>
            <w:r w:rsidRPr="009412D7">
              <w:rPr>
                <w:rFonts w:cstheme="minorHAnsi"/>
              </w:rPr>
              <w:t>HR</w:t>
            </w:r>
          </w:p>
        </w:tc>
        <w:tc>
          <w:tcPr>
            <w:tcW w:w="1594" w:type="dxa"/>
          </w:tcPr>
          <w:p w14:paraId="5BA840A9" w14:textId="77777777" w:rsidR="004C401E" w:rsidRPr="009412D7" w:rsidRDefault="004C401E" w:rsidP="00A5056B">
            <w:pPr>
              <w:jc w:val="center"/>
              <w:rPr>
                <w:rFonts w:cstheme="minorHAnsi"/>
              </w:rPr>
            </w:pPr>
          </w:p>
        </w:tc>
        <w:tc>
          <w:tcPr>
            <w:tcW w:w="1595" w:type="dxa"/>
          </w:tcPr>
          <w:p w14:paraId="60C58D9A" w14:textId="77777777" w:rsidR="004C401E" w:rsidRPr="009412D7" w:rsidRDefault="004C401E" w:rsidP="00A5056B">
            <w:pPr>
              <w:jc w:val="center"/>
              <w:rPr>
                <w:rFonts w:cstheme="minorHAnsi"/>
              </w:rPr>
            </w:pPr>
          </w:p>
        </w:tc>
        <w:tc>
          <w:tcPr>
            <w:tcW w:w="1595" w:type="dxa"/>
          </w:tcPr>
          <w:p w14:paraId="15D6309A" w14:textId="4DC0044C" w:rsidR="004C401E" w:rsidRPr="009412D7" w:rsidRDefault="004C401E" w:rsidP="00A5056B">
            <w:pPr>
              <w:jc w:val="center"/>
              <w:rPr>
                <w:rFonts w:cstheme="minorHAnsi"/>
              </w:rPr>
            </w:pPr>
            <w:r w:rsidRPr="009412D7">
              <w:rPr>
                <w:rFonts w:cstheme="minorHAnsi"/>
              </w:rPr>
              <w:t>X</w:t>
            </w:r>
          </w:p>
        </w:tc>
        <w:tc>
          <w:tcPr>
            <w:tcW w:w="1595" w:type="dxa"/>
          </w:tcPr>
          <w:p w14:paraId="55134DC0" w14:textId="3D5093ED" w:rsidR="004C401E" w:rsidRPr="009412D7" w:rsidRDefault="004C401E" w:rsidP="00A5056B">
            <w:pPr>
              <w:jc w:val="center"/>
              <w:rPr>
                <w:rFonts w:cstheme="minorHAnsi"/>
              </w:rPr>
            </w:pPr>
            <w:r w:rsidRPr="009412D7">
              <w:rPr>
                <w:rFonts w:cstheme="minorHAnsi"/>
              </w:rPr>
              <w:t>X</w:t>
            </w:r>
          </w:p>
        </w:tc>
      </w:tr>
      <w:tr w:rsidR="004C401E" w:rsidRPr="009412D7" w14:paraId="227F63CF" w14:textId="77777777" w:rsidTr="00354374">
        <w:trPr>
          <w:trHeight w:val="299"/>
        </w:trPr>
        <w:tc>
          <w:tcPr>
            <w:tcW w:w="3119" w:type="dxa"/>
          </w:tcPr>
          <w:p w14:paraId="5DE88A15" w14:textId="0D34C96D" w:rsidR="004C401E" w:rsidRPr="009412D7" w:rsidRDefault="004C401E" w:rsidP="00A5056B">
            <w:pPr>
              <w:jc w:val="center"/>
              <w:rPr>
                <w:rFonts w:cstheme="minorHAnsi"/>
              </w:rPr>
            </w:pPr>
            <w:r w:rsidRPr="009412D7">
              <w:rPr>
                <w:rFonts w:cstheme="minorHAnsi"/>
              </w:rPr>
              <w:t>Events</w:t>
            </w:r>
          </w:p>
        </w:tc>
        <w:tc>
          <w:tcPr>
            <w:tcW w:w="1594" w:type="dxa"/>
          </w:tcPr>
          <w:p w14:paraId="3D0625F7" w14:textId="77777777" w:rsidR="004C401E" w:rsidRPr="009412D7" w:rsidRDefault="004C401E" w:rsidP="00A5056B">
            <w:pPr>
              <w:jc w:val="center"/>
              <w:rPr>
                <w:rFonts w:cstheme="minorHAnsi"/>
              </w:rPr>
            </w:pPr>
          </w:p>
        </w:tc>
        <w:tc>
          <w:tcPr>
            <w:tcW w:w="1595" w:type="dxa"/>
          </w:tcPr>
          <w:p w14:paraId="2FEB4282" w14:textId="77777777" w:rsidR="004C401E" w:rsidRPr="009412D7" w:rsidRDefault="004C401E" w:rsidP="00A5056B">
            <w:pPr>
              <w:jc w:val="center"/>
              <w:rPr>
                <w:rFonts w:cstheme="minorHAnsi"/>
              </w:rPr>
            </w:pPr>
          </w:p>
        </w:tc>
        <w:tc>
          <w:tcPr>
            <w:tcW w:w="1595" w:type="dxa"/>
          </w:tcPr>
          <w:p w14:paraId="6F633D88" w14:textId="5A71BEA2" w:rsidR="004C401E" w:rsidRPr="009412D7" w:rsidRDefault="004C401E" w:rsidP="00A5056B">
            <w:pPr>
              <w:jc w:val="center"/>
              <w:rPr>
                <w:rFonts w:cstheme="minorHAnsi"/>
              </w:rPr>
            </w:pPr>
            <w:r w:rsidRPr="009412D7">
              <w:rPr>
                <w:rFonts w:cstheme="minorHAnsi"/>
              </w:rPr>
              <w:t>X</w:t>
            </w:r>
          </w:p>
        </w:tc>
        <w:tc>
          <w:tcPr>
            <w:tcW w:w="1595" w:type="dxa"/>
          </w:tcPr>
          <w:p w14:paraId="4D3C6F1C" w14:textId="58AB43B0" w:rsidR="004C401E" w:rsidRPr="009412D7" w:rsidRDefault="004C401E" w:rsidP="00A5056B">
            <w:pPr>
              <w:jc w:val="center"/>
              <w:rPr>
                <w:rFonts w:cstheme="minorHAnsi"/>
              </w:rPr>
            </w:pPr>
            <w:r w:rsidRPr="009412D7">
              <w:rPr>
                <w:rFonts w:cstheme="minorHAnsi"/>
              </w:rPr>
              <w:t>X</w:t>
            </w:r>
          </w:p>
        </w:tc>
      </w:tr>
    </w:tbl>
    <w:p w14:paraId="73B9645B" w14:textId="2A4BE2BB" w:rsidR="00BF7B8D" w:rsidRPr="00DC1FAD" w:rsidRDefault="00BF7B8D" w:rsidP="00A5056B">
      <w:pPr>
        <w:jc w:val="center"/>
      </w:pPr>
    </w:p>
    <w:p w14:paraId="36915F87" w14:textId="6DF84526" w:rsidR="00D03038" w:rsidRDefault="00D03038" w:rsidP="00C120BC">
      <w:pPr>
        <w:jc w:val="both"/>
        <w:rPr>
          <w:rFonts w:ascii="Effra Light" w:hAnsi="Effra Light" w:cs="Effra Light"/>
        </w:rPr>
      </w:pPr>
    </w:p>
    <w:p w14:paraId="039A5384" w14:textId="77777777" w:rsidR="00D03038" w:rsidRPr="009412D7" w:rsidRDefault="00D03038" w:rsidP="00D03038">
      <w:pPr>
        <w:pStyle w:val="Heading2"/>
        <w:rPr>
          <w:color w:val="FF0000"/>
        </w:rPr>
      </w:pPr>
      <w:bookmarkStart w:id="6" w:name="_Toc411949769"/>
      <w:bookmarkStart w:id="7" w:name="_Toc436315043"/>
      <w:r w:rsidRPr="009412D7">
        <w:rPr>
          <w:color w:val="FF0000"/>
        </w:rPr>
        <w:t>Version control</w:t>
      </w:r>
      <w:bookmarkEnd w:id="6"/>
      <w:bookmarkEnd w:id="7"/>
    </w:p>
    <w:tbl>
      <w:tblPr>
        <w:tblStyle w:val="UoRTable"/>
        <w:tblW w:w="0" w:type="auto"/>
        <w:tblLook w:val="04A0" w:firstRow="1" w:lastRow="0" w:firstColumn="1" w:lastColumn="0" w:noHBand="0" w:noVBand="1"/>
      </w:tblPr>
      <w:tblGrid>
        <w:gridCol w:w="1139"/>
        <w:gridCol w:w="270"/>
        <w:gridCol w:w="1601"/>
        <w:gridCol w:w="273"/>
        <w:gridCol w:w="1395"/>
        <w:gridCol w:w="277"/>
        <w:gridCol w:w="1732"/>
        <w:gridCol w:w="275"/>
        <w:gridCol w:w="1790"/>
        <w:gridCol w:w="274"/>
      </w:tblGrid>
      <w:tr w:rsidR="00D03038" w14:paraId="5A8971C3" w14:textId="77777777" w:rsidTr="00CA619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28" w:type="dxa"/>
            <w:gridSpan w:val="2"/>
          </w:tcPr>
          <w:p w14:paraId="5282AFEA" w14:textId="77777777" w:rsidR="00D03038" w:rsidRPr="001D6404" w:rsidRDefault="00D03038" w:rsidP="00CA619C">
            <w:pPr>
              <w:rPr>
                <w:b w:val="0"/>
                <w:caps w:val="0"/>
              </w:rPr>
            </w:pPr>
            <w:r w:rsidRPr="001D6404">
              <w:t xml:space="preserve">Version </w:t>
            </w:r>
          </w:p>
        </w:tc>
        <w:tc>
          <w:tcPr>
            <w:tcW w:w="1945" w:type="dxa"/>
            <w:gridSpan w:val="2"/>
          </w:tcPr>
          <w:p w14:paraId="7AA3905A" w14:textId="77777777" w:rsidR="00D03038" w:rsidRPr="001D6404" w:rsidRDefault="00D03038" w:rsidP="00CA619C">
            <w:pPr>
              <w:cnfStyle w:val="100000000000" w:firstRow="1" w:lastRow="0" w:firstColumn="0" w:lastColumn="0" w:oddVBand="0" w:evenVBand="0" w:oddHBand="0" w:evenHBand="0" w:firstRowFirstColumn="0" w:firstRowLastColumn="0" w:lastRowFirstColumn="0" w:lastRowLastColumn="0"/>
              <w:rPr>
                <w:b w:val="0"/>
                <w:caps w:val="0"/>
              </w:rPr>
            </w:pPr>
            <w:r w:rsidRPr="001D6404">
              <w:t>Keeper</w:t>
            </w:r>
          </w:p>
        </w:tc>
        <w:tc>
          <w:tcPr>
            <w:tcW w:w="1698" w:type="dxa"/>
            <w:gridSpan w:val="2"/>
          </w:tcPr>
          <w:p w14:paraId="6FE5BF8F" w14:textId="77777777" w:rsidR="00D03038" w:rsidRPr="001D6404" w:rsidRDefault="00D03038" w:rsidP="00CA619C">
            <w:pPr>
              <w:cnfStyle w:val="100000000000" w:firstRow="1" w:lastRow="0" w:firstColumn="0" w:lastColumn="0" w:oddVBand="0" w:evenVBand="0" w:oddHBand="0" w:evenHBand="0" w:firstRowFirstColumn="0" w:firstRowLastColumn="0" w:lastRowFirstColumn="0" w:lastRowLastColumn="0"/>
              <w:rPr>
                <w:b w:val="0"/>
                <w:caps w:val="0"/>
              </w:rPr>
            </w:pPr>
            <w:r w:rsidRPr="001D6404">
              <w:t>Reviewed</w:t>
            </w:r>
          </w:p>
        </w:tc>
        <w:tc>
          <w:tcPr>
            <w:tcW w:w="2059" w:type="dxa"/>
            <w:gridSpan w:val="2"/>
          </w:tcPr>
          <w:p w14:paraId="5BF2BC52" w14:textId="77777777" w:rsidR="00D03038" w:rsidRPr="001D6404" w:rsidRDefault="00D03038" w:rsidP="00CA619C">
            <w:pPr>
              <w:cnfStyle w:val="100000000000" w:firstRow="1" w:lastRow="0" w:firstColumn="0" w:lastColumn="0" w:oddVBand="0" w:evenVBand="0" w:oddHBand="0" w:evenHBand="0" w:firstRowFirstColumn="0" w:firstRowLastColumn="0" w:lastRowFirstColumn="0" w:lastRowLastColumn="0"/>
              <w:rPr>
                <w:b w:val="0"/>
                <w:caps w:val="0"/>
              </w:rPr>
            </w:pPr>
            <w:r w:rsidRPr="001D6404">
              <w:t>Approved by</w:t>
            </w:r>
          </w:p>
        </w:tc>
        <w:tc>
          <w:tcPr>
            <w:tcW w:w="2123" w:type="dxa"/>
            <w:gridSpan w:val="2"/>
          </w:tcPr>
          <w:p w14:paraId="0A2F7ADF" w14:textId="77777777" w:rsidR="00D03038" w:rsidRPr="001D6404" w:rsidRDefault="00D03038" w:rsidP="00CA619C">
            <w:pPr>
              <w:cnfStyle w:val="100000000000" w:firstRow="1" w:lastRow="0" w:firstColumn="0" w:lastColumn="0" w:oddVBand="0" w:evenVBand="0" w:oddHBand="0" w:evenHBand="0" w:firstRowFirstColumn="0" w:firstRowLastColumn="0" w:lastRowFirstColumn="0" w:lastRowLastColumn="0"/>
              <w:rPr>
                <w:b w:val="0"/>
                <w:caps w:val="0"/>
              </w:rPr>
            </w:pPr>
            <w:r w:rsidRPr="001D6404">
              <w:t>Approval date</w:t>
            </w:r>
          </w:p>
        </w:tc>
      </w:tr>
      <w:tr w:rsidR="00D03038" w14:paraId="67F65714" w14:textId="77777777" w:rsidTr="00CA619C">
        <w:tblPrEx>
          <w:tblCellMar>
            <w:top w:w="57" w:type="dxa"/>
          </w:tblCellMar>
        </w:tblPrEx>
        <w:trPr>
          <w:gridAfter w:val="1"/>
          <w:wAfter w:w="289" w:type="dxa"/>
          <w:trHeight w:val="294"/>
        </w:trPr>
        <w:tc>
          <w:tcPr>
            <w:cnfStyle w:val="001000000000" w:firstRow="0" w:lastRow="0" w:firstColumn="1" w:lastColumn="0" w:oddVBand="0" w:evenVBand="0" w:oddHBand="0" w:evenHBand="0" w:firstRowFirstColumn="0" w:firstRowLastColumn="0" w:lastRowFirstColumn="0" w:lastRowLastColumn="0"/>
            <w:tcW w:w="1139" w:type="dxa"/>
          </w:tcPr>
          <w:p w14:paraId="65DE1AE2" w14:textId="77777777" w:rsidR="00D03038" w:rsidRDefault="00D03038" w:rsidP="00CA619C">
            <w:pPr>
              <w:jc w:val="center"/>
            </w:pPr>
            <w:r>
              <w:t>1.0</w:t>
            </w:r>
          </w:p>
        </w:tc>
        <w:tc>
          <w:tcPr>
            <w:tcW w:w="1945" w:type="dxa"/>
            <w:gridSpan w:val="2"/>
          </w:tcPr>
          <w:p w14:paraId="14BA302A" w14:textId="77777777" w:rsidR="00D03038" w:rsidRPr="0034403E" w:rsidRDefault="00D03038" w:rsidP="00CA619C">
            <w:pPr>
              <w:jc w:val="center"/>
              <w:cnfStyle w:val="000000000000" w:firstRow="0" w:lastRow="0" w:firstColumn="0" w:lastColumn="0" w:oddVBand="0" w:evenVBand="0" w:oddHBand="0" w:evenHBand="0" w:firstRowFirstColumn="0" w:firstRowLastColumn="0" w:lastRowFirstColumn="0" w:lastRowLastColumn="0"/>
            </w:pPr>
            <w:r>
              <w:t>CS QMS Team</w:t>
            </w:r>
          </w:p>
        </w:tc>
        <w:tc>
          <w:tcPr>
            <w:tcW w:w="1698" w:type="dxa"/>
            <w:gridSpan w:val="2"/>
          </w:tcPr>
          <w:p w14:paraId="45D6697D" w14:textId="77777777" w:rsidR="00D03038" w:rsidRPr="0034403E" w:rsidRDefault="00D03038" w:rsidP="00CA619C">
            <w:pPr>
              <w:jc w:val="center"/>
              <w:cnfStyle w:val="000000000000" w:firstRow="0" w:lastRow="0" w:firstColumn="0" w:lastColumn="0" w:oddVBand="0" w:evenVBand="0" w:oddHBand="0" w:evenHBand="0" w:firstRowFirstColumn="0" w:firstRowLastColumn="0" w:lastRowFirstColumn="0" w:lastRowLastColumn="0"/>
            </w:pPr>
            <w:r>
              <w:t>Annually</w:t>
            </w:r>
          </w:p>
        </w:tc>
        <w:tc>
          <w:tcPr>
            <w:tcW w:w="2059" w:type="dxa"/>
            <w:gridSpan w:val="2"/>
          </w:tcPr>
          <w:p w14:paraId="4D99BD05" w14:textId="77777777" w:rsidR="00D03038" w:rsidRPr="0034403E" w:rsidRDefault="00D03038" w:rsidP="00CA619C">
            <w:pPr>
              <w:jc w:val="center"/>
              <w:cnfStyle w:val="000000000000" w:firstRow="0" w:lastRow="0" w:firstColumn="0" w:lastColumn="0" w:oddVBand="0" w:evenVBand="0" w:oddHBand="0" w:evenHBand="0" w:firstRowFirstColumn="0" w:firstRowLastColumn="0" w:lastRowFirstColumn="0" w:lastRowLastColumn="0"/>
            </w:pPr>
            <w:r>
              <w:t>LV</w:t>
            </w:r>
          </w:p>
        </w:tc>
        <w:tc>
          <w:tcPr>
            <w:tcW w:w="2123" w:type="dxa"/>
            <w:gridSpan w:val="2"/>
          </w:tcPr>
          <w:p w14:paraId="1DF55624" w14:textId="1DC8409B" w:rsidR="00D03038" w:rsidRPr="0034403E" w:rsidRDefault="005F41E5" w:rsidP="00CA619C">
            <w:pPr>
              <w:jc w:val="center"/>
              <w:cnfStyle w:val="000000000000" w:firstRow="0" w:lastRow="0" w:firstColumn="0" w:lastColumn="0" w:oddVBand="0" w:evenVBand="0" w:oddHBand="0" w:evenHBand="0" w:firstRowFirstColumn="0" w:firstRowLastColumn="0" w:lastRowFirstColumn="0" w:lastRowLastColumn="0"/>
            </w:pPr>
            <w:r>
              <w:t>16/10/20</w:t>
            </w:r>
          </w:p>
        </w:tc>
      </w:tr>
      <w:tr w:rsidR="00D03038" w14:paraId="768C1D31" w14:textId="77777777" w:rsidTr="00CA619C">
        <w:tblPrEx>
          <w:tblCellMar>
            <w:top w:w="57" w:type="dxa"/>
          </w:tblCellMar>
        </w:tblPrEx>
        <w:trPr>
          <w:gridAfter w:val="1"/>
          <w:wAfter w:w="289" w:type="dxa"/>
          <w:trHeight w:val="336"/>
        </w:trPr>
        <w:tc>
          <w:tcPr>
            <w:cnfStyle w:val="001000000000" w:firstRow="0" w:lastRow="0" w:firstColumn="1" w:lastColumn="0" w:oddVBand="0" w:evenVBand="0" w:oddHBand="0" w:evenHBand="0" w:firstRowFirstColumn="0" w:firstRowLastColumn="0" w:lastRowFirstColumn="0" w:lastRowLastColumn="0"/>
            <w:tcW w:w="1139" w:type="dxa"/>
          </w:tcPr>
          <w:p w14:paraId="7077765A" w14:textId="53A0168E" w:rsidR="00D03038" w:rsidRDefault="009E6784" w:rsidP="008A7BB1">
            <w:pPr>
              <w:jc w:val="center"/>
            </w:pPr>
            <w:r>
              <w:lastRenderedPageBreak/>
              <w:t>1.1</w:t>
            </w:r>
          </w:p>
        </w:tc>
        <w:tc>
          <w:tcPr>
            <w:tcW w:w="1945" w:type="dxa"/>
            <w:gridSpan w:val="2"/>
          </w:tcPr>
          <w:p w14:paraId="32043D9A" w14:textId="5088CFCF" w:rsidR="00D03038" w:rsidRDefault="009E6784" w:rsidP="008A7BB1">
            <w:pPr>
              <w:jc w:val="center"/>
              <w:cnfStyle w:val="000000000000" w:firstRow="0" w:lastRow="0" w:firstColumn="0" w:lastColumn="0" w:oddVBand="0" w:evenVBand="0" w:oddHBand="0" w:evenHBand="0" w:firstRowFirstColumn="0" w:firstRowLastColumn="0" w:lastRowFirstColumn="0" w:lastRowLastColumn="0"/>
            </w:pPr>
            <w:r>
              <w:t>CS QMS Team</w:t>
            </w:r>
          </w:p>
        </w:tc>
        <w:tc>
          <w:tcPr>
            <w:tcW w:w="1698" w:type="dxa"/>
            <w:gridSpan w:val="2"/>
          </w:tcPr>
          <w:p w14:paraId="67BC0DCA" w14:textId="52EDCD82" w:rsidR="00D03038" w:rsidRDefault="009E6784" w:rsidP="008A7BB1">
            <w:pPr>
              <w:jc w:val="center"/>
              <w:cnfStyle w:val="000000000000" w:firstRow="0" w:lastRow="0" w:firstColumn="0" w:lastColumn="0" w:oddVBand="0" w:evenVBand="0" w:oddHBand="0" w:evenHBand="0" w:firstRowFirstColumn="0" w:firstRowLastColumn="0" w:lastRowFirstColumn="0" w:lastRowLastColumn="0"/>
            </w:pPr>
            <w:r>
              <w:t>Every 2 years</w:t>
            </w:r>
          </w:p>
        </w:tc>
        <w:tc>
          <w:tcPr>
            <w:tcW w:w="2059" w:type="dxa"/>
            <w:gridSpan w:val="2"/>
          </w:tcPr>
          <w:p w14:paraId="3469FE36" w14:textId="1E85327D" w:rsidR="00D03038" w:rsidRDefault="009E6784" w:rsidP="008A7BB1">
            <w:pPr>
              <w:jc w:val="center"/>
              <w:cnfStyle w:val="000000000000" w:firstRow="0" w:lastRow="0" w:firstColumn="0" w:lastColumn="0" w:oddVBand="0" w:evenVBand="0" w:oddHBand="0" w:evenHBand="0" w:firstRowFirstColumn="0" w:firstRowLastColumn="0" w:lastRowFirstColumn="0" w:lastRowLastColumn="0"/>
            </w:pPr>
            <w:r>
              <w:t>LV</w:t>
            </w:r>
          </w:p>
        </w:tc>
        <w:tc>
          <w:tcPr>
            <w:tcW w:w="2123" w:type="dxa"/>
            <w:gridSpan w:val="2"/>
          </w:tcPr>
          <w:p w14:paraId="614A32CF" w14:textId="5C4A32C4" w:rsidR="00D03038" w:rsidRDefault="00AD0AE2" w:rsidP="008A7BB1">
            <w:pPr>
              <w:jc w:val="center"/>
              <w:cnfStyle w:val="000000000000" w:firstRow="0" w:lastRow="0" w:firstColumn="0" w:lastColumn="0" w:oddVBand="0" w:evenVBand="0" w:oddHBand="0" w:evenHBand="0" w:firstRowFirstColumn="0" w:firstRowLastColumn="0" w:lastRowFirstColumn="0" w:lastRowLastColumn="0"/>
            </w:pPr>
            <w:r>
              <w:t>Feb 2022</w:t>
            </w:r>
          </w:p>
        </w:tc>
      </w:tr>
    </w:tbl>
    <w:p w14:paraId="6CA7FCCE" w14:textId="77777777" w:rsidR="00D03038" w:rsidRPr="00DC1FAD" w:rsidRDefault="00D03038" w:rsidP="00C120BC">
      <w:pPr>
        <w:jc w:val="both"/>
        <w:rPr>
          <w:rFonts w:ascii="Effra Light" w:hAnsi="Effra Light" w:cs="Effra Light"/>
        </w:rPr>
      </w:pPr>
    </w:p>
    <w:sectPr w:rsidR="00D03038" w:rsidRPr="00DC1FAD" w:rsidSect="00BA519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26AA" w14:textId="77777777" w:rsidR="003F4D0D" w:rsidRDefault="003F4D0D" w:rsidP="00404D95">
      <w:pPr>
        <w:spacing w:after="0" w:line="240" w:lineRule="auto"/>
      </w:pPr>
      <w:r>
        <w:separator/>
      </w:r>
    </w:p>
  </w:endnote>
  <w:endnote w:type="continuationSeparator" w:id="0">
    <w:p w14:paraId="1C10D110" w14:textId="77777777" w:rsidR="003F4D0D" w:rsidRDefault="003F4D0D" w:rsidP="004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ffra Light">
    <w:altName w:val="Arial"/>
    <w:charset w:val="00"/>
    <w:family w:val="swiss"/>
    <w:pitch w:val="variable"/>
    <w:sig w:usb0="A00002EF" w:usb1="5000205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CC9E" w14:textId="77777777" w:rsidR="003F4D0D" w:rsidRDefault="003F4D0D" w:rsidP="00404D95">
      <w:pPr>
        <w:spacing w:after="0" w:line="240" w:lineRule="auto"/>
      </w:pPr>
      <w:r>
        <w:separator/>
      </w:r>
    </w:p>
  </w:footnote>
  <w:footnote w:type="continuationSeparator" w:id="0">
    <w:p w14:paraId="5C621F53" w14:textId="77777777" w:rsidR="003F4D0D" w:rsidRDefault="003F4D0D" w:rsidP="0040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6BD5" w14:textId="5DAF5FE4" w:rsidR="00BA519F" w:rsidRDefault="00BA519F" w:rsidP="005571DC">
    <w:pPr>
      <w:pStyle w:val="UoRUnitname"/>
    </w:pPr>
    <w:r w:rsidRPr="00341DAD">
      <w:rPr>
        <w:rFonts w:asciiTheme="minorHAnsi" w:hAnsiTheme="minorHAnsi" w:cstheme="minorHAnsi"/>
        <w:noProof/>
        <w:sz w:val="86"/>
        <w:lang w:eastAsia="en-GB"/>
      </w:rPr>
      <w:drawing>
        <wp:anchor distT="0" distB="0" distL="114300" distR="114300" simplePos="0" relativeHeight="251661312" behindDoc="0" locked="0" layoutInCell="1" allowOverlap="1" wp14:anchorId="26E3D2E7" wp14:editId="0D1EB2B3">
          <wp:simplePos x="0" y="0"/>
          <wp:positionH relativeFrom="page">
            <wp:posOffset>5740841</wp:posOffset>
          </wp:positionH>
          <wp:positionV relativeFrom="page">
            <wp:posOffset>448945</wp:posOffset>
          </wp:positionV>
          <wp:extent cx="1511877" cy="492760"/>
          <wp:effectExtent l="0" t="0" r="0" b="254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Campus Services</w:t>
    </w:r>
    <w:r>
      <w:tab/>
    </w:r>
    <w:r>
      <w:br/>
      <w:t xml:space="preserve">Estates </w:t>
    </w:r>
  </w:p>
  <w:p w14:paraId="2BFE9DB3" w14:textId="77777777" w:rsidR="004B05BE" w:rsidRDefault="004B05BE" w:rsidP="005571DC">
    <w:pPr>
      <w:pStyle w:val="UoRUni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E2897"/>
    <w:multiLevelType w:val="hybridMultilevel"/>
    <w:tmpl w:val="ACB88B42"/>
    <w:lvl w:ilvl="0" w:tplc="3DA8DAD4">
      <w:start w:val="1"/>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52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95"/>
    <w:rsid w:val="00010239"/>
    <w:rsid w:val="00014396"/>
    <w:rsid w:val="00076F02"/>
    <w:rsid w:val="000F669F"/>
    <w:rsid w:val="0016736C"/>
    <w:rsid w:val="001B7DCE"/>
    <w:rsid w:val="001E1C20"/>
    <w:rsid w:val="001F24F3"/>
    <w:rsid w:val="00203658"/>
    <w:rsid w:val="00247DC0"/>
    <w:rsid w:val="0025355A"/>
    <w:rsid w:val="00254FA7"/>
    <w:rsid w:val="00256FAD"/>
    <w:rsid w:val="00281DFC"/>
    <w:rsid w:val="002C5E0D"/>
    <w:rsid w:val="00304786"/>
    <w:rsid w:val="00350AA4"/>
    <w:rsid w:val="00354374"/>
    <w:rsid w:val="003970E0"/>
    <w:rsid w:val="003F4D0D"/>
    <w:rsid w:val="00404D95"/>
    <w:rsid w:val="00412D46"/>
    <w:rsid w:val="0041449D"/>
    <w:rsid w:val="00425EC1"/>
    <w:rsid w:val="00442FC1"/>
    <w:rsid w:val="00483738"/>
    <w:rsid w:val="00495FDB"/>
    <w:rsid w:val="004A730E"/>
    <w:rsid w:val="004B05BE"/>
    <w:rsid w:val="004C401E"/>
    <w:rsid w:val="004C477C"/>
    <w:rsid w:val="004D729E"/>
    <w:rsid w:val="004E242C"/>
    <w:rsid w:val="00504F9F"/>
    <w:rsid w:val="005515CE"/>
    <w:rsid w:val="005551B4"/>
    <w:rsid w:val="005571DC"/>
    <w:rsid w:val="00557508"/>
    <w:rsid w:val="00597DFA"/>
    <w:rsid w:val="005A6B86"/>
    <w:rsid w:val="005E6B72"/>
    <w:rsid w:val="005F1DB3"/>
    <w:rsid w:val="005F2D54"/>
    <w:rsid w:val="005F41E5"/>
    <w:rsid w:val="0061549B"/>
    <w:rsid w:val="006634A3"/>
    <w:rsid w:val="006772F8"/>
    <w:rsid w:val="006C2DAE"/>
    <w:rsid w:val="007426ED"/>
    <w:rsid w:val="00755893"/>
    <w:rsid w:val="00764A56"/>
    <w:rsid w:val="007D4778"/>
    <w:rsid w:val="007D49D3"/>
    <w:rsid w:val="007E1A8E"/>
    <w:rsid w:val="007F17A8"/>
    <w:rsid w:val="00882C72"/>
    <w:rsid w:val="00886BD0"/>
    <w:rsid w:val="0089424F"/>
    <w:rsid w:val="008A7BB1"/>
    <w:rsid w:val="008E3B9F"/>
    <w:rsid w:val="008E55FA"/>
    <w:rsid w:val="00930C20"/>
    <w:rsid w:val="009412D7"/>
    <w:rsid w:val="00956298"/>
    <w:rsid w:val="00964BC2"/>
    <w:rsid w:val="00965F2F"/>
    <w:rsid w:val="009A6217"/>
    <w:rsid w:val="009D42D3"/>
    <w:rsid w:val="009E6784"/>
    <w:rsid w:val="00A258DF"/>
    <w:rsid w:val="00A5056B"/>
    <w:rsid w:val="00A666E0"/>
    <w:rsid w:val="00A70111"/>
    <w:rsid w:val="00AB3BA9"/>
    <w:rsid w:val="00AC4CAB"/>
    <w:rsid w:val="00AD0AE2"/>
    <w:rsid w:val="00AD2C9F"/>
    <w:rsid w:val="00AF409E"/>
    <w:rsid w:val="00B25076"/>
    <w:rsid w:val="00B27262"/>
    <w:rsid w:val="00B2728B"/>
    <w:rsid w:val="00B4422D"/>
    <w:rsid w:val="00B45306"/>
    <w:rsid w:val="00B5512C"/>
    <w:rsid w:val="00BA519F"/>
    <w:rsid w:val="00BB11B4"/>
    <w:rsid w:val="00BC3705"/>
    <w:rsid w:val="00BD37FB"/>
    <w:rsid w:val="00BF7B8D"/>
    <w:rsid w:val="00C03300"/>
    <w:rsid w:val="00C120BC"/>
    <w:rsid w:val="00C45FEF"/>
    <w:rsid w:val="00C61A49"/>
    <w:rsid w:val="00C65942"/>
    <w:rsid w:val="00CD6A9A"/>
    <w:rsid w:val="00D03038"/>
    <w:rsid w:val="00D10CE2"/>
    <w:rsid w:val="00D33D81"/>
    <w:rsid w:val="00D541CA"/>
    <w:rsid w:val="00D70FA2"/>
    <w:rsid w:val="00D82D7A"/>
    <w:rsid w:val="00DA0822"/>
    <w:rsid w:val="00DC1FAD"/>
    <w:rsid w:val="00DC3C36"/>
    <w:rsid w:val="00EC7A44"/>
    <w:rsid w:val="00F03FAC"/>
    <w:rsid w:val="00F530A6"/>
    <w:rsid w:val="00F7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7C18A"/>
  <w15:chartTrackingRefBased/>
  <w15:docId w15:val="{8FE4F9E2-D2B4-4C3A-8178-3338013F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D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D03038"/>
    <w:pPr>
      <w:spacing w:before="360" w:after="60" w:line="360" w:lineRule="exact"/>
      <w:outlineLvl w:val="1"/>
    </w:pPr>
    <w:rPr>
      <w:rFonts w:ascii="Effra" w:eastAsia="Times New Roman" w:hAnsi="Effra" w:cs="Arial"/>
      <w:b/>
      <w:iCs/>
      <w:color w:val="4472C4" w:themeColor="accent1"/>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95"/>
  </w:style>
  <w:style w:type="paragraph" w:styleId="Footer">
    <w:name w:val="footer"/>
    <w:basedOn w:val="Normal"/>
    <w:link w:val="FooterChar"/>
    <w:uiPriority w:val="99"/>
    <w:unhideWhenUsed/>
    <w:rsid w:val="00404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95"/>
  </w:style>
  <w:style w:type="paragraph" w:customStyle="1" w:styleId="UoRUnitname">
    <w:name w:val="UoR Unit name"/>
    <w:rsid w:val="00404D95"/>
    <w:pPr>
      <w:spacing w:after="0" w:line="300" w:lineRule="exact"/>
    </w:pPr>
    <w:rPr>
      <w:rFonts w:ascii="Effra" w:eastAsia="Times New Roman" w:hAnsi="Effra" w:cs="Times New Roman"/>
      <w:b/>
      <w:sz w:val="26"/>
      <w:szCs w:val="24"/>
    </w:rPr>
  </w:style>
  <w:style w:type="paragraph" w:styleId="NormalWeb">
    <w:name w:val="Normal (Web)"/>
    <w:basedOn w:val="Normal"/>
    <w:uiPriority w:val="99"/>
    <w:semiHidden/>
    <w:unhideWhenUsed/>
    <w:rsid w:val="0040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4D95"/>
    <w:rPr>
      <w:color w:val="0000FF"/>
      <w:u w:val="single"/>
    </w:rPr>
  </w:style>
  <w:style w:type="character" w:customStyle="1" w:styleId="Heading1Char">
    <w:name w:val="Heading 1 Char"/>
    <w:basedOn w:val="DefaultParagraphFont"/>
    <w:link w:val="Heading1"/>
    <w:uiPriority w:val="9"/>
    <w:rsid w:val="00404D9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F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3038"/>
    <w:rPr>
      <w:rFonts w:ascii="Effra" w:eastAsia="Times New Roman" w:hAnsi="Effra" w:cs="Arial"/>
      <w:b/>
      <w:iCs/>
      <w:color w:val="4472C4" w:themeColor="accent1"/>
      <w:kern w:val="32"/>
      <w:sz w:val="36"/>
      <w:szCs w:val="28"/>
    </w:rPr>
  </w:style>
  <w:style w:type="table" w:customStyle="1" w:styleId="UoRTable">
    <w:name w:val="UoR Table"/>
    <w:basedOn w:val="TableNormal"/>
    <w:uiPriority w:val="99"/>
    <w:rsid w:val="00D03038"/>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000000" w:themeFill="text1"/>
      </w:tcPr>
    </w:tblStylePr>
    <w:tblStylePr w:type="firstCol">
      <w:rPr>
        <w:rFonts w:ascii="Effra" w:hAnsi="Effra"/>
        <w:b/>
        <w:i w:val="0"/>
      </w:rPr>
    </w:tblStylePr>
  </w:style>
  <w:style w:type="paragraph" w:styleId="Revision">
    <w:name w:val="Revision"/>
    <w:hidden/>
    <w:uiPriority w:val="99"/>
    <w:semiHidden/>
    <w:rsid w:val="00965F2F"/>
    <w:pPr>
      <w:spacing w:after="0" w:line="240" w:lineRule="auto"/>
    </w:pPr>
  </w:style>
  <w:style w:type="paragraph" w:styleId="BalloonText">
    <w:name w:val="Balloon Text"/>
    <w:basedOn w:val="Normal"/>
    <w:link w:val="BalloonTextChar"/>
    <w:uiPriority w:val="99"/>
    <w:semiHidden/>
    <w:unhideWhenUsed/>
    <w:rsid w:val="0041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592">
      <w:bodyDiv w:val="1"/>
      <w:marLeft w:val="0"/>
      <w:marRight w:val="0"/>
      <w:marTop w:val="0"/>
      <w:marBottom w:val="0"/>
      <w:divBdr>
        <w:top w:val="none" w:sz="0" w:space="0" w:color="auto"/>
        <w:left w:val="none" w:sz="0" w:space="0" w:color="auto"/>
        <w:bottom w:val="none" w:sz="0" w:space="0" w:color="auto"/>
        <w:right w:val="none" w:sz="0" w:space="0" w:color="auto"/>
      </w:divBdr>
    </w:div>
    <w:div w:id="169416953">
      <w:bodyDiv w:val="1"/>
      <w:marLeft w:val="0"/>
      <w:marRight w:val="0"/>
      <w:marTop w:val="0"/>
      <w:marBottom w:val="0"/>
      <w:divBdr>
        <w:top w:val="none" w:sz="0" w:space="0" w:color="auto"/>
        <w:left w:val="none" w:sz="0" w:space="0" w:color="auto"/>
        <w:bottom w:val="none" w:sz="0" w:space="0" w:color="auto"/>
        <w:right w:val="none" w:sz="0" w:space="0" w:color="auto"/>
      </w:divBdr>
    </w:div>
    <w:div w:id="1524440539">
      <w:bodyDiv w:val="1"/>
      <w:marLeft w:val="0"/>
      <w:marRight w:val="0"/>
      <w:marTop w:val="0"/>
      <w:marBottom w:val="0"/>
      <w:divBdr>
        <w:top w:val="none" w:sz="0" w:space="0" w:color="auto"/>
        <w:left w:val="none" w:sz="0" w:space="0" w:color="auto"/>
        <w:bottom w:val="none" w:sz="0" w:space="0" w:color="auto"/>
        <w:right w:val="none" w:sz="0" w:space="0" w:color="auto"/>
      </w:divBdr>
    </w:div>
    <w:div w:id="15851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ading.ac.uk/fmd/campus-services/fmd-cs-recep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Koncz</dc:creator>
  <cp:keywords/>
  <dc:description/>
  <cp:lastModifiedBy>Ann Kellaway</cp:lastModifiedBy>
  <cp:revision>2</cp:revision>
  <dcterms:created xsi:type="dcterms:W3CDTF">2022-05-11T13:19:00Z</dcterms:created>
  <dcterms:modified xsi:type="dcterms:W3CDTF">2022-05-11T13:19:00Z</dcterms:modified>
</cp:coreProperties>
</file>